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filed with the Securities and Exchange Commission on July 6, 2026</w:t>
      </w:r>
    </w:p>
    <w:p>
      <w:pPr>
        <w:pStyle w:val="TextBody"/>
        <w:bidi w:val="0"/>
        <w:spacing w:before="0" w:after="0"/>
        <w:jc w:val="left"/>
        <w:rPr/>
      </w:pPr>
      <w:r>
        <w:rPr/>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Registration No. 333-290403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Amendment No. 3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to</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FORM S-1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REGISTRATION STATEMENT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UNDER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SECURITIES ACT OF 1933</w:t>
      </w:r>
    </w:p>
    <w:p>
      <w:pPr>
        <w:pStyle w:val="TextBody"/>
        <w:bidi w:val="0"/>
        <w:spacing w:before="0" w:after="0"/>
        <w:jc w:val="center"/>
        <w:rPr/>
      </w:pPr>
      <w:r>
        <w:rPr/>
      </w:r>
    </w:p>
    <w:p>
      <w:pPr>
        <w:pStyle w:val="TextBody"/>
        <w:bidi w:val="0"/>
        <w:spacing w:before="0" w:after="0"/>
        <w:jc w:val="center"/>
        <w:rPr/>
      </w:pPr>
      <w:r>
        <w:rPr/>
      </w:r>
    </w:p>
    <w:tbl>
      <w:tblPr>
        <w:tblW w:w="4515" w:type="dxa"/>
        <w:jc w:val="left"/>
        <w:tblInd w:w="0" w:type="dxa"/>
        <w:tblLayout w:type="fixed"/>
        <w:tblCellMar>
          <w:top w:w="28" w:type="dxa"/>
          <w:left w:w="28" w:type="dxa"/>
          <w:bottom w:w="28" w:type="dxa"/>
          <w:right w:w="28" w:type="dxa"/>
        </w:tblCellMar>
      </w:tblPr>
      <w:tblGrid>
        <w:gridCol w:w="1446"/>
        <w:gridCol w:w="1271"/>
        <w:gridCol w:w="1798"/>
      </w:tblGrid>
      <w:tr>
        <w:trPr/>
        <w:tc>
          <w:tcPr>
            <w:tcW w:w="144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40"/>
              </w:rPr>
            </w:pPr>
            <w:r>
              <w:rPr>
                <w:rFonts w:ascii="Times New Roman;serif" w:hAnsi="Times New Roman;serif"/>
                <w:b/>
                <w:color w:val="000000"/>
                <w:sz w:val="40"/>
              </w:rPr>
              <w:t xml:space="preserve">USBC, Inc. </w:t>
            </w:r>
          </w:p>
        </w:tc>
      </w:tr>
      <w:tr>
        <w:trPr/>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bl>
    <w:tbl>
      <w:tblPr>
        <w:tblW w:w="6688" w:type="dxa"/>
        <w:jc w:val="left"/>
        <w:tblInd w:w="0" w:type="dxa"/>
        <w:tblLayout w:type="fixed"/>
        <w:tblCellMar>
          <w:top w:w="28" w:type="dxa"/>
          <w:left w:w="28" w:type="dxa"/>
          <w:bottom w:w="28" w:type="dxa"/>
          <w:right w:w="28" w:type="dxa"/>
        </w:tblCellMar>
      </w:tblPr>
      <w:tblGrid>
        <w:gridCol w:w="933"/>
        <w:gridCol w:w="821"/>
        <w:gridCol w:w="826"/>
        <w:gridCol w:w="817"/>
        <w:gridCol w:w="817"/>
        <w:gridCol w:w="825"/>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Nevada</w:t>
            </w:r>
          </w:p>
        </w:tc>
        <w:tc>
          <w:tcPr>
            <w:tcW w:w="245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7389</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90-0273142</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(Primary Standard Industrial</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Classification Code Number)</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300 E 2nd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Reno, NV 89501</w:t>
      </w:r>
    </w:p>
    <w:p>
      <w:pPr>
        <w:pStyle w:val="TextBody"/>
        <w:bidi w:val="0"/>
        <w:spacing w:lineRule="auto" w:line="288" w:before="0" w:after="0"/>
        <w:jc w:val="center"/>
        <w:rPr/>
      </w:pPr>
      <w:r>
        <w:rPr>
          <w:rFonts w:ascii="Times New Roman;serif" w:hAnsi="Times New Roman;serif"/>
          <w:b/>
          <w:color w:val="000000"/>
          <w:sz w:val="20"/>
          <w:u w:val="single"/>
        </w:rPr>
        <w:t>775-239-7673</w:t>
      </w:r>
      <w:r>
        <w:rPr>
          <w:color w:val="000000"/>
          <w:u w:val="single"/>
        </w:rPr>
        <w:t xml:space="preserve">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including zip code, and telephone number,</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including area code, of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Robert Gregory Kidd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300 E 2nd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Reno, NV 89501</w:t>
      </w:r>
    </w:p>
    <w:p>
      <w:pPr>
        <w:pStyle w:val="TextBody"/>
        <w:bidi w:val="0"/>
        <w:spacing w:lineRule="auto" w:line="288" w:before="0" w:after="0"/>
        <w:jc w:val="center"/>
        <w:rPr/>
      </w:pPr>
      <w:r>
        <w:rPr>
          <w:rFonts w:ascii="Times New Roman;serif" w:hAnsi="Times New Roman;serif"/>
          <w:b/>
          <w:color w:val="000000"/>
          <w:sz w:val="20"/>
          <w:u w:val="single"/>
        </w:rPr>
        <w:t>775-239-7673</w:t>
      </w:r>
      <w:r>
        <w:rPr>
          <w:color w:val="000000"/>
          <w:u w:val="single"/>
        </w:rPr>
        <w:t xml:space="preserve">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(Name, address, including zip code, and telephone number,</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including area code, of agent for service)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Copies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Daniel L. Forman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Lowenstein Sandler LLP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1251 Avenue of the Americas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10020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419-5904</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Approximate date of commencement of proposed sale to the public</w:t>
      </w:r>
      <w:r>
        <w:rPr>
          <w:rFonts w:ascii="Times New Roman;serif" w:hAnsi="Times New Roman;serif"/>
          <w:b w:val="false"/>
          <w:color w:val="000000"/>
          <w:sz w:val="20"/>
        </w:rPr>
        <w:t>: From time to time after the effective date of this registration statement.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any of the securities being registered on this Form are to be offered on a delayed or continuous basis pursuant to Rule 415 under the Securities Act of 1933, check the following box.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this Form is a post-effective amendment filed pursuant to Rule 462(d) under the Securities Act, check the following box and list the Securities Act registration number of the earlier effective registration statement for the same offering.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138"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809"/>
        <w:gridCol w:w="809"/>
        <w:gridCol w:w="812"/>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Amendment No. 3 to the Registration Statement on Form S-1 (File No. 333-290403) (the "Registration Statement") is being filed by USBC, Inc. (the “Company”) to update the disclosure contained in the Registration Statement.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Amendment No. 3 incorporates by reference the Company’s Quarterly Report on Form 10-Q for the quarterly period ended March 31, 2026 and the Company’s other reports filed with the Securities and Exchange Commission (the "SEC") since the filing of Amendment No. 2 on April 20, 2026. The Amendment also reflects the removal of an aggregate of 7,819,098 shares of common stock previously included in the Registration Statement on behalf of Cohen &amp; Company Securities, LLC and Fifth Era LLC. Those shares are no longer included in this Registration Statement following the removal of the restrictive legends pursuant to Rule 144 under the Securities Act of 1933, as amended. As a result, the number of shares covered by this prospectus has been reduced from 367,634,098 shares to 359,815,000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 additional securities are being registered by this Amendment, and no additional registration fee is payable in connection with this amendment.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FF0000"/>
          <w:sz w:val="20"/>
        </w:rPr>
      </w:pPr>
      <w:r>
        <w:rPr>
          <w:rFonts w:ascii="Times New Roman;serif" w:hAnsi="Times New Roman;serif"/>
          <w:b/>
          <w:color w:val="FF0000"/>
          <w:sz w:val="20"/>
        </w:rPr>
        <w:t>The information in this preliminary prospectus is not complete and may be changed. The selling stockholders may not sell these securities pursuant to this prospectus until the registration statement filed with the Securities and Exchange Commission is effective. This preliminary prospectus is not an offer to sell these securities and is not soliciting offers to buy these securities in any jurisdiction where the offer or sale is not permitted.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FF0000"/>
          <w:sz w:val="20"/>
        </w:rPr>
      </w:pPr>
      <w:r>
        <w:rPr>
          <w:rFonts w:ascii="Times New Roman;serif" w:hAnsi="Times New Roman;serif"/>
          <w:b/>
          <w:color w:val="FF0000"/>
          <w:sz w:val="20"/>
        </w:rPr>
        <w:t>Subject to completion, dated July 6,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FF0000"/>
          <w:sz w:val="20"/>
        </w:rPr>
      </w:pPr>
      <w:r>
        <w:rPr>
          <w:rFonts w:ascii="Times New Roman;serif" w:hAnsi="Times New Roman;serif"/>
          <w:b/>
          <w:color w:val="FF0000"/>
          <w:sz w:val="20"/>
        </w:rPr>
        <w:t>PRELIMINARY PROSPECTUS</w:t>
      </w:r>
    </w:p>
    <w:p>
      <w:pPr>
        <w:pStyle w:val="TextBody"/>
        <w:bidi w:val="0"/>
        <w:spacing w:before="0" w:after="0"/>
        <w:jc w:val="center"/>
        <w:rPr/>
      </w:pPr>
      <w:r>
        <w:rPr/>
        <w:drawing>
          <wp:inline distT="0" distB="0" distL="0" distR="0">
            <wp:extent cx="2286000" cy="9239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286000" cy="92392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359,815,000 Shares of Common Stock</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This prospectus relates to the sale or other disposition by the selling stockholders identified herein or their transferees (the “Selling Stockholders”) of up to 359,815,000 shares of common stock, par value $0.001 per share (“common stock”), of USBC, Inc. (the “Company”), consisting of: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786"/>
        <w:gridCol w:w="278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w:t>
            </w:r>
          </w:p>
        </w:tc>
        <w:tc>
          <w:tcPr>
            <w:tcW w:w="953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357,815,000 shares of our common stock issued to Goldeneye 1995 LLC (“Goldeneye”) pursuant to that Securities Purchase Agreement, dated June 5, 2025 (the “Purchase Agreement”), by and between the Company and Goldeneye (the “Private Placement”);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(ii)</w:t>
            </w:r>
          </w:p>
        </w:tc>
        <w:tc>
          <w:tcPr>
            <w:tcW w:w="953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2,000,000 shares of our common stock issued to J3E2A2Z LP (“J3E2A2Z”), an entity controlled by Ronald P. Erickson, a former director and executive officer of the Company, in connection with the redemption of the 16,916 issued and outstanding shares of the Company’s Series H Convertible Preferred Stock, par value $0.001 per share (the “Series H Preferred Stock”) at the closing of the Private Placement.</w:t>
            </w:r>
          </w:p>
        </w:tc>
      </w:tr>
    </w:tbl>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will not receive any proceeds from the sale or other disposition of the shares of our common stock by the Selling Stockholders. The Selling Stockholders may sell or otherwise dispose of the shares of our common stock offered by this prospectus from time to time through the means described in this prospectus under the caption “Plan of Distribution.” We have borne and will continue to bear the costs relating to the registration of these shares.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NYSE American LLC under the symbol “USBC.” The last reported sale price for our common stock on the NYSE American LLC on July 2, 2026 was $0.32 per share.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You should carefully read this prospectus and any supplement, including the documents incorporated by reference, before making an investment decision. See “Additional Information” and “Incorporation of Certain Information by Reference”.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color w:val="000000"/>
          <w:sz w:val="20"/>
        </w:rPr>
      </w:pPr>
      <w:r>
        <w:rPr>
          <w:rFonts w:ascii="Times New Roman;serif" w:hAnsi="Times New Roman;serif"/>
          <w:b/>
          <w:color w:val="000000"/>
          <w:sz w:val="20"/>
        </w:rPr>
        <w:t>We are a “smaller reporting company” as defined under the federal securities laws and, as such, are eligible for reduced public company reporting requirements. See “Prospectus Summary - Implications of Being a Smaller Reporting Company.”</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color w:val="000000"/>
          <w:sz w:val="20"/>
        </w:rPr>
      </w:pPr>
      <w:r>
        <w:rPr>
          <w:rFonts w:ascii="Times New Roman;serif" w:hAnsi="Times New Roman;serif"/>
          <w:b/>
          <w:color w:val="000000"/>
          <w:sz w:val="20"/>
        </w:rPr>
        <w:t>Investing in our common stock involves a high degree of risk. Before making an investment decision, you should review the information contained under the heading “Risk Factors” in our most recent Annual Report on Form 10-K for the transition period ended December 31, 2025, as such risk factors may be updated by our subsequent Forms 10-Q, Current Reports on Form 8-K and other reports filed with the Securities and Exchange Commission (the “SEC”), which are incorporated by reference herein, and as may be amended, supplemented or superseded from time to time by other reports we file with the SEC.</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color w:val="000000"/>
          <w:sz w:val="20"/>
        </w:rPr>
      </w:pPr>
      <w:r>
        <w:rPr>
          <w:rFonts w:ascii="Times New Roman;serif" w:hAnsi="Times New Roman;serif"/>
          <w:b/>
          <w:color w:val="000000"/>
          <w:sz w:val="20"/>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date of this prospectus is,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TABLE OF CONTENTS</w:t>
      </w:r>
    </w:p>
    <w:tbl>
      <w:tblPr>
        <w:tblW w:w="7228" w:type="dxa"/>
        <w:jc w:val="left"/>
        <w:tblInd w:w="0" w:type="dxa"/>
        <w:tblLayout w:type="fixed"/>
        <w:tblCellMar>
          <w:top w:w="28" w:type="dxa"/>
          <w:left w:w="28" w:type="dxa"/>
          <w:bottom w:w="28" w:type="dxa"/>
          <w:right w:w="28" w:type="dxa"/>
        </w:tblCellMar>
      </w:tblPr>
      <w:tblGrid>
        <w:gridCol w:w="2291"/>
        <w:gridCol w:w="2017"/>
        <w:gridCol w:w="2022"/>
        <w:gridCol w:w="109"/>
        <w:gridCol w:w="109"/>
        <w:gridCol w:w="109"/>
        <w:gridCol w:w="167"/>
        <w:gridCol w:w="167"/>
        <w:gridCol w:w="237"/>
      </w:tblGrid>
      <w:tr>
        <w:trPr/>
        <w:tc>
          <w:tcPr>
            <w:tcW w:w="229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087744004d84447298416050e7d769f9_2359">
              <w:r>
                <w:rPr>
                  <w:rStyle w:val="InternetLink"/>
                  <w:rFonts w:ascii="Times New Roman;serif" w:hAnsi="Times New Roman;serif"/>
                  <w:b w:val="false"/>
                  <w:color w:val="0000FF"/>
                  <w:sz w:val="20"/>
                </w:rPr>
                <w:t>ABOUT THIS PROSPECTUS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70aaa872fe664ffd8dd102cac3349eff_113155">
              <w:r>
                <w:rPr>
                  <w:rStyle w:val="InternetLink"/>
                  <w:rFonts w:ascii="Times New Roman;serif" w:hAnsi="Times New Roman;serif"/>
                  <w:b w:val="false"/>
                  <w:color w:val="0000FF"/>
                  <w:sz w:val="20"/>
                </w:rPr>
                <w:t>PROSPECTUS SUMMARY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70aaa872fe664ffd8dd102cac3349eff_113152">
              <w:r>
                <w:rPr>
                  <w:rStyle w:val="InternetLink"/>
                  <w:rFonts w:ascii="Times New Roman;serif" w:hAnsi="Times New Roman;serif"/>
                  <w:b w:val="false"/>
                  <w:color w:val="0000FF"/>
                  <w:sz w:val="20"/>
                </w:rPr>
                <w:t>THE OFFERING</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70aaa872fe664ffd8dd102cac3349eff_113159">
              <w:r>
                <w:rPr>
                  <w:rStyle w:val="InternetLink"/>
                  <w:rFonts w:ascii="Times New Roman;serif" w:hAnsi="Times New Roman;serif"/>
                  <w:b w:val="false"/>
                  <w:color w:val="0000EE"/>
                  <w:sz w:val="20"/>
                </w:rPr>
                <w:t>RISK FACTORS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70aaa872fe664ffd8dd102cac3349eff_113156">
              <w:r>
                <w:rPr>
                  <w:rStyle w:val="InternetLink"/>
                  <w:rFonts w:ascii="Times New Roman;serif" w:hAnsi="Times New Roman;serif"/>
                  <w:b w:val="false"/>
                  <w:color w:val="0000EE"/>
                  <w:sz w:val="20"/>
                </w:rPr>
                <w:t>CAUTIONARY NOTE REGARDING FORWARD-LOOKING STATEMENTS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70aaa872fe664ffd8dd102cac3349eff_113160">
              <w:r>
                <w:rPr>
                  <w:rStyle w:val="InternetLink"/>
                  <w:rFonts w:ascii="Times New Roman;serif" w:hAnsi="Times New Roman;serif"/>
                  <w:b w:val="false"/>
                  <w:color w:val="0000FF"/>
                  <w:sz w:val="20"/>
                </w:rPr>
                <w:t>USE OF PROCEEDS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70aaa872fe664ffd8dd102cac3349eff_113157">
              <w:r>
                <w:rPr>
                  <w:rStyle w:val="InternetLink"/>
                  <w:rFonts w:ascii="Times New Roman;serif" w:hAnsi="Times New Roman;serif"/>
                  <w:b w:val="false"/>
                  <w:color w:val="0000EE"/>
                  <w:sz w:val="20"/>
                </w:rPr>
                <w:t>SELLING STOCKHOLDERS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70aaa872fe664ffd8dd102cac3349eff_113158">
              <w:r>
                <w:rPr>
                  <w:rStyle w:val="InternetLink"/>
                  <w:rFonts w:ascii="Times New Roman;serif" w:hAnsi="Times New Roman;serif"/>
                  <w:b w:val="false"/>
                  <w:color w:val="0000EE"/>
                  <w:sz w:val="20"/>
                </w:rPr>
                <w:t>PLAN OF DISTRIBUTION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70aaa872fe664ffd8dd102cac3349eff_113153">
              <w:r>
                <w:rPr>
                  <w:rStyle w:val="InternetLink"/>
                  <w:rFonts w:ascii="Times New Roman;serif" w:hAnsi="Times New Roman;serif"/>
                  <w:b w:val="false"/>
                  <w:color w:val="0000EE"/>
                  <w:sz w:val="20"/>
                </w:rPr>
                <w:t>DESCRIPTION OF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70aaa872fe664ffd8dd102cac3349eff_113161">
              <w:r>
                <w:rPr>
                  <w:rStyle w:val="InternetLink"/>
                  <w:rFonts w:ascii="Times New Roman;serif" w:hAnsi="Times New Roman;serif"/>
                  <w:b w:val="false"/>
                  <w:color w:val="0000EE"/>
                  <w:sz w:val="20"/>
                </w:rPr>
                <w:t>LEGAL MATTERS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70aaa872fe664ffd8dd102cac3349eff_113150">
              <w:r>
                <w:rPr>
                  <w:rStyle w:val="InternetLink"/>
                  <w:rFonts w:ascii="Times New Roman;serif" w:hAnsi="Times New Roman;serif"/>
                  <w:b w:val="false"/>
                  <w:color w:val="0000EE"/>
                  <w:sz w:val="20"/>
                </w:rPr>
                <w:t>EXPERTS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70aaa872fe664ffd8dd102cac3349eff_113154">
              <w:r>
                <w:rPr>
                  <w:rStyle w:val="InternetLink"/>
                  <w:rFonts w:ascii="Times New Roman;serif" w:hAnsi="Times New Roman;serif"/>
                  <w:b w:val="false"/>
                  <w:color w:val="0000EE"/>
                  <w:sz w:val="20"/>
                </w:rPr>
                <w:t>ADDITIONAL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70aaa872fe664ffd8dd102cac3349eff_113151">
              <w:r>
                <w:rPr>
                  <w:rStyle w:val="InternetLink"/>
                  <w:rFonts w:ascii="Times New Roman;serif" w:hAnsi="Times New Roman;serif"/>
                  <w:b w:val="false"/>
                  <w:color w:val="0000FF"/>
                  <w:sz w:val="20"/>
                </w:rPr>
                <w:t>INCORPORATION OF CERTAIN INFORMATION BY REFERENCE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bookmarkStart w:id="1" w:name="i087744004d84447298416050e7d769f9_2359"/>
      <w:bookmarkEnd w:id="1"/>
      <w:r>
        <w:rPr>
          <w:rFonts w:ascii="Times New Roman;serif" w:hAnsi="Times New Roman;serif"/>
          <w:b/>
          <w:color w:val="000000"/>
          <w:sz w:val="20"/>
        </w:rPr>
        <w:t>ABOUT THIS PROSPECTUS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Neither we nor the Selling Stockholders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Stockholders take responsibility for and can provide no assurance as to the reliability of, any other information that others may give you. Neither we nor the Selling Stockholders will make an offer to sell these securities in any jurisdiction where the offer or sale is not permitted.</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For investors outside the United States: neither we nor the Selling Stockholders have done anything that would permit this offering or possession or distribution of this prospectus in any jurisdiction outside the United States where action for that purpose is required. Persons outside the United States who come into possession of this prospectus must inform themselves about, and observe any restrictions relating to, the offering of our securities covered hereby and the distribution of this prospectus outside the United States.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will be incorporated by reference as exhibits to the registration statement of which this prospectus is a part, and you may obtain copies of those documents as described below under “Additional Information” and “Incorporation of Certain Information by Reference”.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may also provide a prospectus supplement to add information to, or update or change information contained in, this prospectus. You should read both this prospectus and any applicable prospectus supplement together with the additional information to which we refer you in the sections of this prospectus entitled “Additional Information” and “Incorporation of Certain Information by Reference”.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Unless otherwise stated or the context otherwise indicates, references to “USBC,” the “Company,” “we,” “our,” “us,” or similar terms refer to USBC,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68" w:before="0" w:after="0"/>
        <w:jc w:val="left"/>
        <w:rPr>
          <w:rFonts w:ascii="Times New Roman;serif" w:hAnsi="Times New Roman;serif"/>
          <w:b/>
          <w:color w:val="000000"/>
          <w:sz w:val="20"/>
        </w:rPr>
      </w:pPr>
      <w:bookmarkStart w:id="2" w:name="i70aaa872fe664ffd8dd102cac3349eff_113155"/>
      <w:bookmarkEnd w:id="2"/>
      <w:r>
        <w:rPr>
          <w:rFonts w:ascii="Times New Roman;serif" w:hAnsi="Times New Roman;serif"/>
          <w:b/>
          <w:color w:val="000000"/>
          <w:sz w:val="20"/>
        </w:rPr>
        <w:t>PROSPECTUS SUMMARY</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i/>
          <w:color w:val="000000"/>
          <w:sz w:val="20"/>
        </w:rPr>
      </w:pPr>
      <w:r>
        <w:rPr>
          <w:rFonts w:ascii="Times New Roman;serif" w:hAnsi="Times New Roman;serif"/>
          <w:b w:val="false"/>
          <w:i/>
          <w:color w:val="000000"/>
          <w:sz w:val="20"/>
        </w:rPr>
        <w:t>The following summary highlights some information from this prospectus or incorporated by reference herein. It is not complete and does not contain all of the information that you should consider before making an investment decision. You should read this entire prospectus, including the “Risk Factors” section beginning on page 11 of this prospectus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publicly traded financial technology company focused on the development of the USBC tokenized deposit offering, a U.S. dollar-denominated tokenized deposit that operates on blockchain technology and incorporates digital identity. The USBC tokenized deposit offering combines the regulatory protections of traditional bank deposits with the efficiency and programmability of blockchain-based payments. We continue to advance subsequent phases of the product delivery strategy in preparation for a future public launch.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We rely on access to external sources of capital to fund our product development, commercialization efforts, working capital needs, and general corporate purposes. Therefore, it is foreseeable that we may seek to pursue future capital raising activities. To support our long-term growth strategy, we have also implemented a Bitcoin treasury strategy. Our Bitcoin holdings serve as a strategic treasury reserve asset and may be pledged as collateral under certain financing arrangements that provide capital to support product development and other general corporate purposes. See “</w:t>
      </w:r>
      <w:r>
        <w:rPr>
          <w:rFonts w:ascii="Times New Roman;serif" w:hAnsi="Times New Roman;serif"/>
          <w:b w:val="false"/>
          <w:i/>
          <w:color w:val="000000"/>
          <w:sz w:val="20"/>
        </w:rPr>
        <w:t>Bitcoin Treasury Strategy</w:t>
      </w:r>
      <w:r>
        <w:rPr>
          <w:color w:val="000000"/>
        </w:rPr>
        <w:t xml:space="preserve">” </w:t>
      </w:r>
      <w:r>
        <w:rPr>
          <w:rFonts w:ascii="Times New Roman;serif" w:hAnsi="Times New Roman;serif"/>
          <w:b w:val="false"/>
          <w:color w:val="000000"/>
          <w:sz w:val="20"/>
        </w:rPr>
        <w:t>below.</w:t>
      </w:r>
    </w:p>
    <w:p>
      <w:pPr>
        <w:pStyle w:val="TextBody"/>
        <w:bidi w:val="0"/>
        <w:spacing w:before="0" w:after="0"/>
        <w:ind w:left="0" w:right="0" w:firstLine="54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our transition to a calendar-year reporting cycle, we changed our fiscal year end from September 30 to December 31 to better align our financial reporting calendar with our operating cycle, internal budgeting and financial planning process, and to improve compatibility with industry peers that report on a calendar-year basis. In connection with this change, we filed a Transition Report on Form 10-K with the SEC on March 25, 2026, covering the three-month transition period from October 1, 2025 through December 31, 2025 (the "Transition Period").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Corporate History and Development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2025, in connection with the closing of a strategic controlling-interest acquisition by Goldeneye 1995 LLC (an affiliate of our Chairman and Chief Executive Officer, Greg Kidd), we issued 357.8 million shares of our common stock in exchange for 1,000 Bitcoin and $15 million in cash. Mr. Kidd and his veteran team of finance and technology leaders who are part of the USBC founding team collectively bring with them decades of technology and fintech experience.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Following the closing of the capital investment by Goldeneye, we changed our corporate name to USBC, Inc. and our ticker symbol to “USBC” on the NYSE American. Our corporate evolution reflects a strategic pivot to the further development of a financial-technology platform and establishment of a digital asset treasury reserve. Prior to August 2025, we operated under the name Know Labs, Inc. and our primary focus was on non-invasive diagnostic and sensor technologies.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27, 2026, we completed the divestiture of our legacy non-invasive sensor technology business pursuant to a Stock Purchase Agreement entered into by and among USBC, Inc. its wholly owned subsidiary, Particle, Inc., Particle Acquisition Corporation, an entity controlled by Ronald P. Erickson, former Chairman, President and CEO of Know Labs, Inc. (the "Buyer"). As part of the divestiture transaction, we agreed to provide the Buyer with limited operating capital to fund a portion of its operating expenses until the Buyer secures permanent equity financing. Additional information regarding the Stock Purchase Agreement and our commitment to extend a short-term secured line of credit to the Buyer in connection with the divestiture transaction is incorporated by reference from the Current Report on Form 8-K filed on April 2, 2026.</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June 12, 2026, our Board of Directors approved a proposal to effect a reverse stock split of our outstanding common stock at a ratio ranging from 1-for-2 to 1-for-5. On June 15, 2026, Goldeneye, the holder of approximately 92.2% of the voting power of our outstanding common stock, approved the reverse stock split by written consent in lieu of a special meeting of stockholders. The reverse stock split will not reduce the number of authorized shares of our common stock, and no fractional shares will be issued. The exact ratio and timing of the reverse stock split will be determined by the Company and may be effected, if at all, within twelve months following June 15, 2026. On June 22, 2026, we filed a preliminary Information Statement on Schedule 14C with the SEC. The reverse stock split will not become effective until the requirements of Section 14(c) of the Securities Exchange Act of 1934 and Rule 14c-2 thereunder have been satisfied.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June 1, 2026, we drew an additional fixed-rate borrowing of $5.0 million under the Master Loan Agreement (the "MLA") we entered into with Payward Interactive, Inc. (the "Lender") on March 18, 2026, increasing the aggregate principal amount outstanding under the MLA to $15.0 million. We previously drew an initial fixed-rate borrowing of $5.0 million on March 20, 2026, and an additional $5.0 million on April 27, 2026. Under the MLA, we may, from time to time, borrow fiat currency or digital assets on the terms set forth therein in an aggregate principal amount of up to $25.0 million for up to a twelve-month term, subject to execution of one or more individual loan term sheets. Borrowings under the MLA bear interest at 8.5% per annum and, based on the borrowings outstanding as of June 30, 2026, mature on June 1, 2027. The MLA contains customary conditions, initial collateral requirements, collateral maintenance and liquidation mechanics, and early return and recall rights. Borrowings under the MLA are solely secured by Bitcoin collateral held in custody with Payward Financial, Inc. and are subject to collateral maintenance requirements based on specified margin ratios.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terms of the MLA, the required initial margin ratio is 150% of the outstanding borrowings at the time of each loan draw, which is equivalent to a maximum loan-to-value ratio of approximately 66.7%. If the margin ratio declines to 130% or lower, the Lender will issue a margin call requiring us to either post additional Bitcoin collateral or partially repay outstanding borrowings within 24 hours in order to restore compliance with the required margin ratio. Under the MLA, if the margin ratio declines to 120% or lower and we do not timely cure the deficiency in accordance with the terms of the MLA, the Lender may exercise its contractual rights with respect to the collateral, including liquidation rights. In addition, under the MLA, we may request the release of excess collateral if the margin ratio exceeds 170% for two consecutive days, subject to the terms and conditions of the MLA. The fair value of pledged Bitcoin collateral is determined by the Lender based on the applicable Bitcoin market spot rate at the applicable date or time of determination in accordance with the collateral valuation and maintenance provisions of the MLA. The obligations under the MLA are prepayable at our option at any time after three months from the date of the initial loan draw without penalty. The MLA has an initial one-year term and automatically renews for successive one-year terms unless terminated in accordance with its terms. The Company may terminate the MLA at any time, and either party may terminate the MLA upon 30 days' written notice, provided that any outstanding loans remain in effect until repaid or otherwise terminated in accordance with the MLA.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2, 2026, a decline of approximately 18.2% in the value of pledged Bitcoin collateral, assuming no repayment or additional collateral posting, would have reduced the collateral coverage ratio to the 130% collateral call margin ratio. No collateral calls, mandatory repayments, or liquidation events had occurred under the MLA as of July 2, 2026.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Proceeds from the MLA are being used primarily to fund further development costs of the tokenized deposit program offering, including costs paid to our affiliate, Vast Holdings, Inc. (“Vast”) under the terms of the Affiliate Services Agreement (the “Agreement”) we simultaneously entered into on March 18, 2026. Pursuant to the terms of the Agreement, we reimburse Vast's wholly-owned subsidiary, Vast Bank, for the costs of performing certain strategic, operational and administrative services that support the development of our tokenized deposit platform, subject to the reimbursement cap of $10.5 million contained in the Agreement. We entered into the Agreement with Vast on March 18, 2026, which contains detailed invoicing, documentation, and approval requirements. The Agreement expires on December 31, 2026. As of June 30, 2026, the Company had incurred approximately $5.3 million in reimbursements of actual development-related costs in accordance with the terms of the Agreement. The agreement may be terminated by the Company without cause upon 60 days' prior written notice. Either party may terminate the Affiliate Services Agreement immediately upon written notice if the other party breaches the agreement and fails to cure such breach within 15 days after written notice. Either party may also terminate the agreement if a state or federal regulatory authority requests or directs the terminating party to terminate the agreement, or criticizes or challenges the terminating party's actions under the agreement during a regulatory examination or otherwise. Upon termination by the Company, we are responsible for certain reasonable, pre-approved third-party termination costs, subject to specified limitations.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10, 2026, we initiated Phase 1 of our multi-phase delivery strategy for how we will bring the USBC tokenized deposit product to market. Phase 1 is being conducted with a limited group of internal users who have elected to participate in an expanded employee pilot program ahead of the public launch of the branded platform. Phase 1 is not a consumer offering and is not available to the public; it is intended solely to begin technical readiness testing. During this phase, testing activities are conducted exclusively with company-provided funds for internal evaluation purposes. The results of Phase 1 will inform our evaluation of the timing and scope of subsequent phases of the delivery strategy and when the tokenized deposit product offering may become available to retail customers. Any future retail launch will remain subject to the outcome of the pilot program and receipt of any required regulatory, board, and bank partner approvals.</w:t>
      </w:r>
    </w:p>
    <w:p>
      <w:pPr>
        <w:pStyle w:val="TextBody"/>
        <w:bidi w:val="0"/>
        <w:spacing w:before="0" w:after="0"/>
        <w:ind w:left="0" w:right="0" w:firstLine="540"/>
        <w:jc w:val="both"/>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announcing our multi-phase product delivery strategy on March 10, 2026, we have developed the core product infrastructure and completed initial technical readiness testing with a limited group of internal users in a controlled environment. We continue to advance the technical, operational, and regulatory work necessary to support subsequent phases of the product delivery strategy in preparation for a future public launch. With a focus on inclusion, innovation, and risk management, we are dedicated to creating long-term shareholder value in a rapidly evolving financial landscape.</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20, 2026, we formalized our collaboration with Uphold HQ Inc. (“Uphold”) and Vast Bank, N.A. (“Vast Bank”), by entering into the tri-party agreement (the "Tri-Party Agreement"), which will serve as the initial issuing bank for the U.S. Bank Coin (“USBC”) tokenized-deposit offering. Uphold is a financial technology company that provides modern infrastructure for on-chain payments, banking and investment services. Vast Bank is a federally regulated financial institution that will serve as the initial issuing bank for customer deposit accounts underlying the tokenized-deposit program. USBC will serve as the network operator, Vast Bank will serve as the issuing bank for customer deposit accounts, and Uphold will provide platform integration and customer access services. We continue to advance technical, operational, and regulatory readiness in connection with subsequent phases of the delivery strategy and the future broader launch of the USBC tokenized-deposit offering.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Vast Bank, USBC and Uphold (the "Parties") shall each be entitled to a proportionate revenue share under the terms set forth in the Tri-Party Agreement. Deposit Revenue shall be calculated monthly based on the anticipated yield attributable to the tokenized deposit balances allocated to each asset category as determined by Vast in its sole discretion. The anticipated yield for each category shall be multiplied by the portion of Tokenized Deposit Balances allocated to such category to determine total Deposit Revenue for the applicable period. USBC, as the revenue share agent, is responsible for preparing and delivering a monthly revenue share statement to each of the Parties to enable payment of the proportionate revenue share, net of allocated program expenses incurred in operating and supporting the tokenized deposit network, such as costs related to payments and other transaction types, risk management, and third-party processing. Except as otherwise provided in the Tri-Party Agreement, each of the Parties shall bear and pay all direct costs and expenses incurred by it or on its behalf, or assessed against it or on its behalf, in performing its obligations under the Tri-Party Agreement. See the Tri-Party Agreement filed as Exhibit 10.1 to the Company's Current Report on Form 8-K filed with the SEC on January 26, 2026.</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Tri-Party Agreement has an initial term of one (1) year following the general commercial launch of the tokenized deposit program on the Uphold platform and automatically renews for successive one (1) year terms unless timely notice of non-renewal is provided by either Party. The Tri-Party Agreement may also be terminated upon the occurrence of specified events, including an uncured material breach, insolvency or bankruptcy, certain force majeure events, or if a governmental authority directs a party to cease or materially limit its performance, and provides for an orderly transition or wind-down of the program following termination.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Tri-Party Agreement provides that the non-binding memorandum of understanding signed by USBC, Vast Bank and Uphold in October 2025 shall be superseded and terminated in its entirety effective January 20, 2026. Additional information regarding the strategic partnership agreement by and among USBC, Vast Bank and Uphold is incorporated by reference from the Current Report on Form 8-K filed on January 26, 2026.</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i/>
          <w:color w:val="000000"/>
          <w:sz w:val="20"/>
        </w:rPr>
        <w:t>Bitcoin Treasury Strategy</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established our Bitcoin Treasury in connection with the Goldeneye 1995 LLC investment completed on August 6, 2025, which operates in parallel with our technology development activities to further develop, and ultimately launch, the USBC tokenized-deposit offering. As of July 2, 2026, substantially all of our treasury reserve assets were invested in Bitcoin.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Bitcoin, launched in 2009, is a decentralized digital asset that is issued by and transmitted through an open-source protocol collectively maintained by a distributed network of participants with no central authority. The Bitcoin network operates continuously, 24 hours a day, 7 days a week. The network hosts a public transaction ledger, known as the Bitcoin blockchain, on which Bitcoin holdings and all validated transactions that have ever taken place on the Bitcoin network are recorded. Balances of Bitcoin are stored in individual wallet functions, which associate network public addresses with one or more cryptographic private keys that control the transfer of Bitcoin.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trading price of Bitcoin has experienced extreme volatility in recent periods and may continue to do so. The prevalence of digital assets, including Bitcoin, is a relatively recent trend, and their long-term adoption by investors, consumers and businesses is unpredictable. For example, steep increases in the value of certain digital assets, including Bitcoin, occurred over the course of 2017, and multiple market observers asserted that digital assets were experiencing a “bubble.” These increases were followed by steep drawdowns throughout 2018 in digital asset trading prices, including for Bitcoin. Following the drawdowns, Bitcoin prices increased during 2019, decreased significantly again in early 2020 amidst broader declines as a result of the COVID-19 pandemic before increasing later in the year, and increased again in early 2021 to reach all-time highs. Yet, even during such overall price increase in early 2021, Bitcoin experienced substantial price volatility, including decreases of over 10% in a single day. Further, increases in 2021 were followed by steep drawdowns throughout 2022 in digital asset trading prices, including for Bitcoin. Bitcoin prices subsequently recovered, but continued to experience price volatility in more recent periods. Similar cycles of rapid price appreciation followed by steep drawdowns have occurred multiple times throughout Bitcoin’s history, including in 2011 and 2013-2014. Bitcoin markets may still be experiencing a bubble or may experience a bubble again in the future. Extreme volatility may continue to occur in the future, including further declines in the trading prices of Bitcoin.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July 2, 2026, the market capitalization of Bitcoin was approximately $1.2 trillion, based on a market price of approximately $61,420.35 and 20 million coins issued, although the effective circulating supply of Bitcoin may be even lower. Estimates suggest that 3 to 4 million Bitcoin may be permanently unrecoverable due to forgotten passwords, misplaced wallets, or dormant addresses, reducing the actual circulating supply to approximately 16 to 17 million Bitcoin, creating a structural scarcity effect which may also lead to Bitcoin price volatility.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We strategically utilize our Bitcoin holdings as a primary treasury reserve asset to generate yield to help support the current business and future growth and expansion of new business lines. We view our Bitcoin holdings as long-term strategic treasury assets rather than as short-term trading positions. We seek to enhance our Bitcoin-denominated holdings through our Bitcoin yield-generation strategy. Our Bitcoin treasury trading strategy is intended to boost our Bitcoin holdings through premiums collected on options. As part of our Bitcoin yield generation strategy trading activities, we have entered into option derivative contracts on our Bitcoin holdings. As previously disclosed, we have appointed Hyrcanian Asset Management, LLC (the “Manager”) to provide us with discretionary treasury management services with respect to our Bitcoin treasury strategy, specifically buying and selling call options on Bitcoin (the “Program”). The Manager commenced buying and selling call options on our Bitcoin holdings in the fourth fiscal quarter of 2025.</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Program, we enter into short-term arrangements that result in obtaining the right to receive or obligation to deliver a fixed amount of Bitcoin in the future. The Program is structured such that the net maximum notional exposure should not exceed the balance of the Bitcoin treasury holdings. The Program does not involve leveraged derivative exposure in excess of our Bitcoin holdings. While the ability to make further digital investments on our behalf is one of the premises of establishing the Manager, we have not and do not currently intend to utilize the Manager to do so.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have pledged a portion of our Bitcoin holdings as collateral for borrowings under a Master Loan Agreement with Payward Interactive, Inc. As of July 2, 2026, we had $15.0 million of borrowings outstanding under the Master Loan Agreement. The proceeds from borrowings under the Master Loan Agreement are being used primarily to support the continued development and commercialization of the USBC tokenized deposit offering, including costs incurred under the Affiliate Services Agreement with Vast Holdings, Inc., as well as for working capital and other general corporate purposes.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expect Bitcoin to remain the most significant component of our treasury assets for the foreseeable future. We do not maintain a fixed numerical target percentage allocation of treasury assets to Bitcoin. The substantial majority of our Bitcoin holdings were acquired as part of the Goldeneye 1995 LLC capital investment which closed on August 6, 2025. We do not currently intend to make any future purchases of Bitcoin through open market transactions for the foreseeable future. We do not intend to incur indebtedness for the purpose of acquiring additional Bitcoin to add to our treasury assets. The relative proportion of Bitcoin within our treasury assets may change over time due to operating liquidity needs, capital raising activities or changes in the market value of Bitcoin.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Bitcoin holdings, including our Bitcoin treasury strategy and related risks, see our Annual Report on Form 10-K for the transition period ended December 31, 2025 under “Business,” “Risk Factors,” and “Management’s Discussion and Analysis of Financial Condition and Results of Operations.</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Custody of our Bitcoin</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2, 2026, our Bitcoin holdings of approximately $63.3 million represent the principal component of our consolidated balance sheet, consisting of approximately 1,030.53 Bitcoin.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intend to hold substantially all of our Bitcoin in offline cold storage with U.S.-based, institutional-grade custodians. The primary counterparty risk we are exposed to with respect to our Bitcoin is performance obligations under the various custody and financing arrangements which we have entered into. We custody substantially all of our Bitcoin with Coinbase Custody Trust Company, LLC ("Coinbase"), BitGo Trust Company, Inc. ("BitGo"), and Payward Financial, Inc. ("Payward") (collectively, the "Custodians"), all of which are U.S.-based, institutional-grade custodians with a demonstrated record of regulatory compliance and information security. Our custodial services agreements specify that the private keys that control our Bitcoin will be held in offline or cold storage which is designed to mitigate risks that a system may be susceptible to when connected to the internet. Our custodial contracts with the Custodians also contain liability provisions which hold the Custodians liable for failure to safekeep our Bitcoin.</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Bitcoin is controllable only by the possessor of both the unique public key and private keys relating to the local or online digital wallet in which the Bitcoin is held. Private keys used to access our Bitcoin balances are not widely distributed and are all held on hardware by the third-party custodians at facilities within the U.S. and internationally. The cold-storage vaults used by the custodians use multilayered physical security, including biometric access controls, and the vaults are geographically dispersed and access-controlled.</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of our Bitcoin holdings with the Custodians are held in segregated accounts. The Custodians are obligated by our contractual arrangements with them to keep timely and accurate bookkeeping records of our Bitcoin holdings under rigorous internal controls. As an institutional client, we have the ability to generate statements that contain account-level reporting which serves as a control over financial reporting. We do not have custody of Bitcoin held for clients. We do not self-custody any of our Bitcoin.</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2, 2026, the amount of our Bitcoin that was pledged for digital asset options trading activities represents approximately 37.8% of our total Bitcoin Treasury. The Bitcoin pledged as collateral for trading activities is held in cold storage wallets with one or more of the counterparty’s designated custodial partners. Private keys used to access the Bitcoin pledged as collateral are controlled by the designated trading counterparty. </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custody of our Bitcoin and related risks, refer to our Annual Report on Form 10-K for the transition period ended December 31, 2025 under the "Business" and “Risk Factors”, which is incorporated by reference herein.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Tokenized Deposit Program</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focus is on the further development and future public launch of our tokenized deposit program. The tokenized deposit program has been in development from its inception by our Chairman and CEO, Greg Kidd for the better part of a decade. The USBC tokenized deposit offering incorporates embedded digital identity and leverage blockchain technology. It is being designed to support financial inclusion and innovation, through partnerships with banks and distribution partners such as Uphold, a pioneering infrastructure provider for on-chain finance. </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USBC tokenized deposit product offering will enable eligible customers to open a U.S. dollar-denominated deposit account issued by Vast Bank. Each customer is assigned a bank account number and a corresponding address on the USBC network. Customers may fund their account through a variety of methods, with their balances represented on the USBC network as tokenized deposits. Balances remain liabilities of Vast Bank, while transactions are recorded on the USBC ledger. Following public launch and subject to applicable legal, regulatory, and onboarding requirements, developers and partners are expected to be able to integrate the USBC network into mobile and web-based applications, enabling eligible customers to access and transfer tokenized deposits through supported digital interfaces.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USBC tokenized deposits are digital representations of U.S. dollar-denominated bank deposits issued by Vast Bank and recorded on the USBC network ledger. The product combines traditional bank deposit accounts with blockchain-based transfer and settlement capabilities, allowing eligible users to display and transfer tokenized deposits through applications connected to the network. The USBC tokenized-deposit product offering will augment and coexist with Vast Bank's traditional payment rails. End users who seek the advantages of blockchain technology will have access to the tokenized deposit account option, while those users comfortable with legacy methods of processing deposit and withdrawal transactions can continue using their traditional bank deposit account as before.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Unlike a stablecoin, USBC is not a newly-created digital asset backed by reserves, nor is USBC a deposit token. USBC is a tokenized representation of a bank deposit offered by banking institutions to their customers. Other tokenized deposit products may exist, but we believe that we will be the first to provide direct access to end users, made possible by its permissioned blockchain and risk management tech stack. USBC’s API-centric approach means that developers building on the platform will have the ability to offer their customers digital U.S. dollars and their own U.S. bank deposit account worldwide. Since USBC is a representation of an actual deposit account, a bank can pay interest to the holder, just as it might on a typical interest-bearing checking or savings account.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USBC’s core value proposition is that it provides a safe, compliant and versatile foundation for a variety of payment use cases and financial applications. By combining the real-time settlement and programmability of blockchain technology with the trust and familiarity of regulated bank money, USBC has the potential to unlock a wide range of opportunities that are designed to benefit both consumers and businesses.</w:t>
      </w:r>
    </w:p>
    <w:p>
      <w:pPr>
        <w:pStyle w:val="TextBody"/>
        <w:bidi w:val="0"/>
        <w:spacing w:before="0" w:after="0"/>
        <w:ind w:left="0" w:right="0" w:firstLine="5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identified numerous impactful use cases for USBC including financial inclusion and open access, cross-border payments and remittances, hedge against local currency instability, 24/7 instant payments, integrated programmable payments, and treasury management. These use cases illustrate how USBC can permeate many aspects of finance and commerce. While tokenized deposits do not necessarily replace existing systems overnight, they are intended to augment and coexist with traditional payment rails. For end-users who need the advantages, the tokenized option becomes available, while those comfortable with legacy methods can continue as before. Over time, as trust and familiarity grow, we anticipate broader adoption of tokenized deposits as an alternative to traditional bank deposit accounts. See “Risk Factors” below for further details on risk and uncertainties associated with the use cases identified for USBC.</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USBC is underpinned by a blockchain ledger that serves as the single source of truth for all tokenized deposit transactions, providing customers with the ability to send, spend, convert, and load (and unload) funds from their account balances. These transactions are mirrored on-chain via tokenized representations of deposits and withdrawals made to customer accounts at the issuing bank.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issuing bank will commit to clear and transparent rules for the USBC program and will maintain ultimate control and responsibility for the platform which is subject to regulatory oversight by banking regulators. The USBC program will be integrated into the bank’s overall corporate governance structure and will be subject to oversight by the same audit and risk committees that oversee banking operations, ensuring that the highest level of the organization, the Board of Directors, is aware of and accountable for the program. In addition to governance conducted by the participating bank, the USBC network will undergo regular third-party audits and reviews, similar to those performed on traditional core banking systems, with full results made available to network participants and regulators to ensure transparency and trust.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Unlike permissionless cryptocurrency systems where anyone can create an address and transact, the USBC system contains a trust and identity management layer which requires users to build a verified digital identity before they can access or transact on the network. To open a USBC account, a user will need to go through an onboarding process that collects identity information and verifiable credentials which can be issued or validated by trusted third parties. Before any transaction is submitted to the blockchain, it must be reviewed and signed by the ledger’s rules engine, which enforces a configurable set of policies tied to user identity level, regulatory obligations and risk controls. Once funds are in a USBC tokenized deposit account, funds are immediately available, enabling same-day access to traditional financial infrastructure including wire transfers, ACH payments or spending via debit rails. There is no need to withdraw funds via an exchange or conversion to fiat currency through third party services, eliminating costly ramp fees, reducing counterparty risk and streamlining post-trade fund management.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technology stack for USBC will be a hybrid of a traditional banking system and blockchain components. Developers and partners like Uphold will see a familiar blockchain environment to build upon that is enriched with identity and compliance layers not found on public chains. The user will experience the system through user-friendly banking apps or web interfaces that abstract away the blockchain complexity. Every transaction will be recorded as a blockchain event on a ledger with each on-chain transfer reflecting a corresponding update in the tokenized deposit account transaction history.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finalized our delivery strategy to bring the tokenized deposit product to market, setting the foundation for how we will scale the product offering and support real-world adoption of the USBC tokenized deposit offering. Our delivery strategy consists of multiple phases. Phase 1 is focused on building core technical foundations and conducting internal technical readiness testing. We initiated Phase 1 of our multi-phase delivery strategy on March 10, 2026. The principal milestone for Phase 1 is completion of technical readiness testing to support subsequent phases of the delivery strategy. See “--Corporate History and Development” above for information regarding the scope and limitations of Phase 1 of the delivery strategy.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initiating Phase 1 of our delivery strategy, we have developed core product infrastructure and tested key platform functionality, including customer onboarding and identity recovery, ACH funding, spending functionality, treasury conversion, messaging, and activity logging. We continue to advance iterative product enhancements, operational readiness, and subsequent phases of the delivery strategy in preparation for a future public launch, which remains subject to regulatory, operational, market, board, and bank partner considerations.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Planning is underway for future phases of the delivery strategy which will be supported by the core technical foundations built during Phase 1. Phase 2 is intended to expand testing to additional invited participants and continue operational and regulatory readiness activities. The principal milestone for Phase 2 is to achieve operational readiness to support an initial commercial launch, subject to receipt of any required approvals. Phase 3 is intended to support the initial commercial launch of the tokenized-deposit product through selected distribution partners. The principal milestone for Phase 3 is the initial commercial launch of the tokenized-deposit product.</w:t>
      </w:r>
      <w:r>
        <w:rPr>
          <w:color w:val="000000"/>
        </w:rPr>
        <w:t xml:space="preserve"> </w:t>
      </w:r>
      <w:r>
        <w:rPr>
          <w:rFonts w:ascii="Times New Roman;serif" w:hAnsi="Times New Roman;serif"/>
          <w:b w:val="false"/>
          <w:color w:val="000000"/>
          <w:sz w:val="20"/>
        </w:rPr>
        <w:t>Phase 4 is intended to support broader commercialization through additional product functionality, integrations and distribution channels. The principal milestone for Phase 4 is broader commercial expansion of the tokenized-deposit product.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no requirement to obtain regulatory pre-approval to tokenize bank deposit accounts has specifically been identified, we are coordinating closely with Vast Bank and Uphold to meet these potential expectations and avoid regulatory exposure that could delay or jeopardize the further development and future retail launch of the USBC tokenized deposit program. Prior to full market launch, Vast Bank management must obtain Board approval and demonstrate compliance with applicable regulatory guidance and safety and soundness standards.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USBC network has been developed to operate on a permissioned ledger derived from the open-source Solana blockchain protocol. Solana is a public, open-source blockchain that uses a proof-of-stake consensus mechanism, augmented by a transaction-sequencing method that enables high transaction throughput and low transaction costs relative to certain other public blockchain networks. Smart contracts, referred to as programs, may be deployed on the network to support decentralized applications and tokenized assets. Unlike the public Solana network, the USBC network is permissioned: transaction validation is performed by authorized participants rather than by an open, public set of validators, and participation requires a verified digital identity. As a result, the USBC network does not rely on the public Solana network’s native token or its public validator set for transaction processing.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development costs to be significant and increasing as we continue executing our delivery strategy. We expect to fund the development of our tokenized-deposit product through our existing liquidity sources, including our Bitcoin-collateralized credit facility, our Bitcoin treasury holdings, and potential future financings. We are also able to access external funding through at-the-market ("ATM") equity issuances, future debt financings, strategic investments, or other capital-raising transactions, subject to market conditions, regulatory requirements, and Board approval, as applicable.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cost and success of future phases of our strategy is subject to uncertainty in how successful we will be in executing the strategy within anticipated parameters. While the timing and total cost of each phase is uncertain at this point in the strategy, we have identified key activities, cost drivers, and operational milestones associated with each phase.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 information regarding the design, functionality and regulatory considerations of the tokenized-deposit platform is included in our Annual Report on Form 10-K for the transition period ended December 31, 2025 under “Business—Tokenized Deposit Program” and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Sales Agreement with Jones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previously disclosed in the prospectus supplement dated December 31, 2024, we entered into a Capital on Demand Sales Agreement (the “Sales Agreement”) with JonesTrading Institutional Services LLC, (“Jones”) as sales agent, may offer and sell shares of our common stock (the “Shares”), having an initial aggregate offering price of up to a maximum of $5,000,000, from time to time, through an “at the market offering” program.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5, 2025, we determined to increase the amount available for sale under the Sales Agreement, up to an aggregate offering price of $14,500,000. The offer and sale of the Shares will be made pursuant to our effective shelf registration statement on Form S-3 (File No. 333-276246) in the amount of $18,000,000 initially filed with the SEC on December 22, 2023 and declared effective by the SEC on January 11, 2024, the related prospectus supplement, dated December 31, 2024, and the additional prospectus supplement filed with the SEC on September 5, 2025 in connection with the offer and sale of the Shares.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2, 2026, we have not issued or sold any shares under the Sales Agreement and have not received any proceeds therefrom. As market conditions permit, we may offer and sell securities under the Sales Agreement to fund our operations or to provide additional liquidity.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Digital Asset Regulatory Environment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operate within a highly regulated environment that spans federal securities laws, banking and financial services regulations, digital asset and token-related frameworks, and multiple layers of consumer protection and data privacy obligations. These regulatory regimes, especially those governing digital assets, payments, and financial technology infrastructure, are evolving rapidly and are likely to subject us to ongoing interpretation which may lead to potential enforcement activity. We monitor regulatory changes closely and are making significant investments in our legal, compliance, product and engineering teams to plan and prepare to comply with current and future regulations.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Bank regulators, including the OCC, FDIC, and Federal Reserve, have recently increased scrutiny of fintech-bank partnerships, including requiring pre-approval for new product features and closer monitoring of operational risks. We continue to engage with our banking partners and monitor evolving regulatory developments applicable to tokenized bank deposits. In June 2026, we submitted a comment letter supporting the Federal Deposit Insurance Corporation ("FDIC") proposed framework implementing the GENIUS Act, reflecting our view that a clear regulatory framework is important to the responsible development of tokenized bank deposits.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Implications of Being a Smaller Reporting Company</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was less than $700 million. For so long as we remain a smaller reporting company, we are permitted and intend to rely on exemptions from certain disclosure. As a result, the information that we provide to our stockholders may be different than you might receive from other public reporting companies in which you hold equity interests.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were incorporated under the laws of the State of Nevada on October 8, 1998. In August 2025, we changed our name to USBC, Inc. from Know Labs, Inc.</w:t>
      </w:r>
    </w:p>
    <w:p>
      <w:pPr>
        <w:pStyle w:val="TextBody"/>
        <w:bidi w:val="0"/>
        <w:spacing w:before="0" w:after="0"/>
        <w:jc w:val="left"/>
        <w:rPr/>
      </w:pPr>
      <w:r>
        <w:rPr/>
      </w:r>
    </w:p>
    <w:p>
      <w:pPr>
        <w:pStyle w:val="TextBody"/>
        <w:bidi w:val="0"/>
        <w:spacing w:lineRule="auto" w:line="288" w:before="0" w:after="0"/>
        <w:ind w:left="0" w:right="0" w:firstLine="675"/>
        <w:jc w:val="both"/>
        <w:rPr/>
      </w:pPr>
      <w:r>
        <w:rPr>
          <w:rFonts w:ascii="Times New Roman;serif" w:hAnsi="Times New Roman;serif"/>
          <w:b w:val="false"/>
          <w:color w:val="000000"/>
          <w:sz w:val="20"/>
        </w:rPr>
        <w:t>The address of our principal executive office is 300 E 2</w:t>
      </w:r>
      <w:r>
        <w:rPr>
          <w:rFonts w:ascii="Times New Roman;serif" w:hAnsi="Times New Roman;serif"/>
          <w:b w:val="false"/>
          <w:color w:val="000000"/>
          <w:sz w:val="13"/>
        </w:rPr>
        <w:t>nd</w:t>
      </w:r>
      <w:r>
        <w:rPr>
          <w:color w:val="000000"/>
        </w:rPr>
        <w:t xml:space="preserve"> </w:t>
      </w:r>
      <w:r>
        <w:rPr>
          <w:rFonts w:ascii="Times New Roman;serif" w:hAnsi="Times New Roman;serif"/>
          <w:b w:val="false"/>
          <w:color w:val="000000"/>
          <w:sz w:val="20"/>
        </w:rPr>
        <w:t>Street,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Floor Reno, NV 89501. Our telephone number is 775-239-7673 and our principal website address is located at www.usbc.xyz. The information on our website is not incorporated by reference in and is not deemed a part of this prospectus.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 </w:t>
      </w:r>
    </w:p>
    <w:p>
      <w:pPr>
        <w:pStyle w:val="TextBody"/>
        <w:bidi w:val="0"/>
        <w:spacing w:before="0" w:after="0"/>
        <w:ind w:left="0" w:right="0" w:firstLine="675"/>
        <w:jc w:val="both"/>
        <w:rPr/>
      </w:pPr>
      <w:r>
        <w:rPr/>
      </w:r>
    </w:p>
    <w:p>
      <w:pPr>
        <w:pStyle w:val="TextBody"/>
        <w:bidi w:val="0"/>
        <w:spacing w:before="0" w:after="0"/>
        <w:jc w:val="center"/>
        <w:rPr/>
      </w:pPr>
      <w:r>
        <w:rPr/>
      </w:r>
    </w:p>
    <w:p>
      <w:pPr>
        <w:pStyle w:val="TextBody"/>
        <w:bidi w:val="0"/>
        <w:spacing w:lineRule="auto" w:line="240" w:before="0" w:after="0"/>
        <w:jc w:val="both"/>
        <w:rPr>
          <w:rFonts w:ascii="Times New Roman;serif" w:hAnsi="Times New Roman;serif"/>
          <w:b/>
          <w:color w:val="000000"/>
          <w:sz w:val="20"/>
        </w:rPr>
      </w:pPr>
      <w:bookmarkStart w:id="3" w:name="i70aaa872fe664ffd8dd102cac3349eff_113152"/>
      <w:bookmarkEnd w:id="3"/>
      <w:r>
        <w:rPr>
          <w:rFonts w:ascii="Times New Roman;serif" w:hAnsi="Times New Roman;serif"/>
          <w:b/>
          <w:color w:val="000000"/>
          <w:sz w:val="20"/>
        </w:rPr>
        <w:t>THE OFFERING</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The following summary of the offering contains basic information about the offering and our securities and is not intended to be complete. It does not contain all the information that may be important to you. For a more complete understanding of our securities, please refer to the section titled</w:t>
      </w:r>
      <w:r>
        <w:rPr>
          <w:color w:val="000000"/>
        </w:rPr>
        <w:t xml:space="preserve"> “</w:t>
      </w:r>
      <w:r>
        <w:rPr>
          <w:rFonts w:ascii="Times New Roman;serif" w:hAnsi="Times New Roman;serif"/>
          <w:b w:val="false"/>
          <w:i/>
          <w:color w:val="000000"/>
          <w:sz w:val="20"/>
        </w:rPr>
        <w:t>Description of Securities.</w:t>
      </w:r>
      <w:r>
        <w:rPr>
          <w:color w:val="000000"/>
        </w:rPr>
        <w: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03"/>
        <w:gridCol w:w="530"/>
        <w:gridCol w:w="533"/>
        <w:gridCol w:w="2543"/>
        <w:gridCol w:w="2479"/>
        <w:gridCol w:w="3517"/>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3517"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Common stock offered by the Selling Stockholders</w:t>
            </w:r>
          </w:p>
        </w:tc>
        <w:tc>
          <w:tcPr>
            <w:tcW w:w="853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359,815,000 shares.</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Common stock outstanding as of July 2, 2026</w:t>
            </w:r>
          </w:p>
        </w:tc>
        <w:tc>
          <w:tcPr>
            <w:tcW w:w="853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388,144,429 shares.</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Use of proceeds</w:t>
            </w:r>
          </w:p>
        </w:tc>
        <w:tc>
          <w:tcPr>
            <w:tcW w:w="853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will not receive any proceeds from the sale or other disposition of the shares of our common stock covered hereby by the Selling Stockholders.</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Risk Factors</w:t>
            </w:r>
          </w:p>
        </w:tc>
        <w:tc>
          <w:tcPr>
            <w:tcW w:w="853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Before making an investment decision, you should review the information contained under the heading “Risk Factors” in the Transition Report on Form 10-K for the period ended December 31, 2025 as such risk factors may be updated in our subsequent reports filed with the SEC, which are incorporated by reference herein, and as may be amended, supplemented or superseded from time to time by other reports we file with the SEC, and other information in this prospectus for a discussion of the factors you should consider before you decide to invest in our common stock.</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NYSE American Symbol</w:t>
            </w:r>
          </w:p>
        </w:tc>
        <w:tc>
          <w:tcPr>
            <w:tcW w:w="853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USBC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4" w:name="i70aaa872fe664ffd8dd102cac3349eff_113159"/>
      <w:bookmarkEnd w:id="4"/>
      <w:r>
        <w:rPr>
          <w:rFonts w:ascii="Times New Roman;serif" w:hAnsi="Times New Roman;serif"/>
          <w:b/>
          <w:color w:val="000000"/>
          <w:sz w:val="20"/>
        </w:rPr>
        <w:t>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An investment in our common stock involves a high degree of risk. You should carefully read and consider all of the risks described below, together with all of the other information contained or referred to in this prospectus, before making an investment decision with respect to our common stock. If any of the following events occur, our financial condition, business and results of operations (including cash flows) may be materially adversely affected. In that event, the market price of our common stock could decline, and you could lose all or part of your investment.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 Related to Business, Finance and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have a history of losses, we may not be able to attain profitability in the future, and there is no assurance that our revenue and business model will be successful.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history of net losses. We expect our costs will increase over time, and that we may continue to generate losses in the future as we invest significant additional funds toward growing our business and operating as a public company. Such losses may fluctuate significantly from quarter to quarter. We expect to expend substantial financial and other resources on pre-launch product development, including investments in our proposed product, engineering, data, and design teams and platform; our technology infrastructure, including systems architecture, management tools, scalability, availability, performance, security, and disaster recovery measures; our sales, marketing, and partner management organizations; acquisitions or strategic investments; and general administration, including legal and accounting expenses.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efforts may be more costly than we expect and may not result in the generation of any revenue. A failure to generate enough revenue to sufficiently keep pace with our investments and other expenses could prevent us from achieving profitability or positive cash flows. If we are unable to successfully address these risks and challenges as we encounter them,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If we cannot keep pace with rapid changes in the digital asset industry, including technological developments and evolving regulatory frameworks, the potential use of our proposed products and services, and consequently our ability to generate revenue, could decline, which could adversely affect our business,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digital asset industry has been characterized by many rapid, significant, and disruptive products and services in recent years. These include decentralized applications, DeFi, yield farming, non-fungible tokens, play-to-earn games, lending, staking, token wrapping, governance tokens, innovative programs to attract customers such as transaction fee mining programs, initiatives to attract traders such as trading competitions, airdrops and giveaways, staking reward programs, “layer 2” blockchain networks, and novel digital asset fundraising and distribution schemes, such as “initial exchange offerings.” We expect new digital asset products, services, and technologies to continue to emerge and evolve, which may be superior to, or render obsolete, the products and services that we are currently developing. For example, disruptive technologies such as generative artificial intelligence (“AI”) may fundamentally alter the use of our proposed products or services in unpredictable ways. We cannot predict the effects of new services and technologies on our business. Our ability to generate net revenue will depend heavily on our ability to innovate and create successful new products and services, both independently and in conjunction with third-party developers. In particular, developing and incorporating these new products and services into our business may require substantial expenditures, take considerable time, and ultimately may not be successful. Any new products or services could fail to attract customers, generate revenue, or perform or integrate well with third-party applications and platforms. In addition, our ability to adapt and compete with new products and services may be inhibited by regulatory requirements and general uncertainty in the law and regulatory expectations, constraints by our banking partners and payment processors, third-party intellectual property rights, or other factors. Moreover, we must continue to enhance our technical infrastructure and other technology offerings to remain competitive and ensure our platform has the required functionality, performance, capacity, security, and speed to attract and retain customers. As a result, we expect to incur significant costs and expenses to continue developing the technical infrastructure required to meet the evolving needs of the industry. Our success will depend on our ability to develop and incorporate new offerings and adapt to technological changes and evolving industry practices. If we are unable to do so in a timely or cost-effective manner, our business and our ability to successfully compete to attract customers may be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Since late 2025, policymakers in the United States and other jurisdictions have continued to consider legislation and regulatory proposals addressing digital assets, including frameworks relating to tokenized deposits, payment stablecoins, and other blockchain-based representations of financial assets. These proposals could impose new requirements relating to licensing, capital or reserve requirements, operational controls, consumer protections, and regulatory oversight of blockchain-based financial infrastructure. Because our business strategy includes the development of a tokenized deposit platform and related digital financial infrastructure, changes in law, regulation, or regulatory interpretation could affect our ability to launch or operate such services, require modifications to our platform architecture or compliance framework, or impose additional obligations on us or our partners. Regulatory developments could also impose additional supervisory expectations on bank-fintech partnerships or limit the types of institutions permitted to issue tokenized deposits. Any such developments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will need additional capital to execute our business strategy, and we cannot be certain that additional financing will be available on favorable terms, or at 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we have funded our operations and capital expenditures primarily through debt and equity issuance. While we currently anticipate that our existing liquidity sources, including our Bitcoin holdings and available borrowing capacity under our Bitcoin-collateralized loan facility, should be sufficient to meet our cash needs for at least the next 12 months, our anticipated cash needs may exceed our available resources as we execute our business strategy. Bitcoin’s price has experienced, and is expected to continue to experience, extreme volatility. During times of market instability, we may not be able to sell our Bitcoin holdings to generate liquidity at favorable prices or at all. As a result, we will be required to seek additional financing or other sources of liquidity to fund our operations and support the continued development of our business. We may evaluate financing opportunities from time to time, including through sales of Bitcoin, Bitcoin-collateralized financing arrangements, related-party or other investor financing, and other debt or equity financings. Our ability to obtain financing will depend, among other things, on our pre-launch development efforts, outcome of the pilot program, business plans, operating performance, and the condition of the capital markets at the time we seek financing. We cannot assure you that additional financing or other liquidity sources will be available to us on favorable terms when required, or at all. In particular, we have obtained financing through a Bitcoin-collateralized financing arrangement, and we are required to pledge a portion of our digital asset holdings and satisfy margin maintenance and other collateral requirements. We are also required to maintain a loan-to-value ratio on an ongoing basis. If the value of the pledged collateral declines below certain loan-to-value ratios, we could be required to post additional collateral, repay indebtedness earlier than anticipated or permit the liquidation of pledged Bitcoin, which could adversely affect our liquidity, financial condition and results of operations. As of July 2, 2026, approximately 388 Bitcoins were pledged as collateral for the Bitcoin credit facility under the terms of an account control agreement. If we raise additional funds through the issuance of equity or equity-linked securities, those securities may have rights, preferences, or privileges senior to the rights of our common stock, and our stockholders may experience dilution. If we raise additional funds by incurring indebtedness, then we may be subject to increased fixed payment obligations and could be subject to restrictive covenants, such as limitations on our ability to incur additional debt, and other operating restrictions that could adversely affect our ability to conduct our business. Any future indebtedness we may incur may result in terms that could be unfavorable to our investors.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2026, we entered into a Master Loan Agreement with Payward Interactive, Inc., pursuant to which we may borrow from time to time, borrow fiat currency or digital assets on the terms set forth therein in an aggregate principal amount of up to $25.0 million for up to a twelve-month term, subject to execution of one or more individual loan term sheets. The MLA contains customary conditions, initial collateral requirements, collateral maintenance and liquidation mechanics, and early return and recall rights. The Bitcoin collateralizing the borrowing facility is held for the benefit of the Lender by an affiliate of the Lender, Payward Financial, Inc. (the "Custodian") and subject to an account control agreement by and among the Lender, the Company and the Custodian. Borrowings under the MLA are solely secured by Bitcoin collateral held in and subject to collateral maintenance requirements based on specified margin ratios. Due to the inherent volatility of Bitcoin and other digital assets, declines in the value of our pledged collateral could result in margin calls requiring us to repay borrowings earlier than anticipated or post additional collateral within short timeframes, each of which may strain our liquidity, or result in the liquidation of pledged assets at unfavorable prices. Any such events could adversely impact our financial condition, results of operations and ability to execute our business strategy.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Failure of vendors to perform their contractual agreements and our failure to effectively oversee vendor operations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contract with vendors and service providers who perform services for us or to whom select functions are delegated and integrated into our processes. In some cases, third-party vendors are one of a limited number of sources. These service providers play an important role in supporting the technology, automation, and operational capabilities of our platform. If certain critical vendors were unable to perform, we could experience interruptions or delays in the delivery of our products and services while we identify and integrate suitable alternatives. We also rely on third-party providers for key technology functions, including system availability, cybersecurity, data processing, and infrastructure support. These providers supply resources that help maintain the reliability, scalability, and security of our systems and data. We utilize a variety of other vendors to detect and defend against malicious activity and threats. Any disruption, performance degradation, or failure by our vendors to meet their obligations could adversely affect the continuity of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arrangements with vendors and service providers have in the past and may in the future disrupt or degrade our operations if they fail to satisfy their obligations to us or if they were to stop providing services to us either on a temporary or permanent basis. We may be unable to replace these vendors and service providers in a timely and efficient manner, on similar terms, or at all. In addition, our vendors and service providers may fail to operate in compliance with applicable laws, regulations, and rules. Despite our efforts to monitor our vendors and service providers with which we transact business, there is no guarantee that they will comply with their contractual obligations as agreed to or applicable laws and regulations. Failure to maintain an effective vendor oversight program and monitor our vendors’ compliance with applicable laws could result in fines, penalties or other liability for errors and omissions by these vendors and service providers, which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requirements of being a public company may strain our resources, divert management’s attention, and affect our ability to attract and retain qualified board members.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of 2002, the listing requirements of the NYSE American and other applicable securities rules and regulations. Compliance with these rules and regulations may increase our legal and financial compliance costs, make some activities more difficult, time consuming, or costly, and increase the demands on our systems and resources. The Exchange Act requires, among other things, that we file annual, quarterly, and current reports with respect to our business and results of operations. In addition, we expect that our management and personnel will need to divert attention from operational and other business matters to devote substantial time to these public company requirements. We cannot predict or estimate the amount of additional costs we may incur as a result of being a public company or the timing of such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executive officers have limited experience in dealing with the increasingly complex laws pertaining to public companies, which may increase the amount of their time devoted to these activities and result in less time being devoted to the management and growth of our business. We continue to evaluate whether we have adequate personnel with the appropriate level of knowledge, experience and training in the accounting policies, practices or internal control over financial reporting required of public companies. We may expand our employee base and hire additional employees to support our operations as a public company, which may in the future cause our operating costs to increase. If we fail to establish and maintain proper and effective internal control over financial reporting, our ability to produce accurate and timely financial statements could be impaired, investors may lose confidence in our financial reporting and the trading price of our common stock may decline.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in the future, particularly to serve on our audit committee and compensation committee.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 lack of specificity and as a result, their application in practice may evolve over time as new guidance is provided by regulatory and governing bodies.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financial condition, and results of operations could be adversely affected.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rely on an affiliated entity to provide key operational services, which exposes us to risks related to potential conflicts of interest, cost structure, operational dependency, and business continuity.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18, 2026, we entered into an Affiliate Services Agreement with Vast Holdings, Inc., an affiliated entity, pursuant to which its wholly-owned OCC-chartered bank subsidiary, Vast Bank, provides strategic, operational, and administrative services supporting the further development of our tokenized deposit platform and related business lines (the “Services”). Under this arrangement, we reimburse Vast for the cost of the Services based on the actual costs incurred by Vast Bank, subject to a total reimbursement cap during the term of the agreement. Our reliance on an affiliated service provider exposes us to a number of risks including potential conflicts of interest, limitations on our operational independence, and reduced flexibility in managing our cost structure. In addition, because a significant portion of our operational infrastructure is supported by Vast, any disruption in services, disagreement regarding service levels or costs, or inability to scale services in line with our growth could adversely affect our business operations. Any of these factors could adversely affect our business, financial condition, results of operations, and ability to execute our strategic objectives.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Geopolitical and political instability, including armed conflicts, regional tensions, terrorism, sanctions, adverse economic conditions and related disruptions in U.S. and global markets, could adversely affect our business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Political developments in the U.S. and other countries can cause uncertainty in the economic environment and market conditions in which we operate. Certain governmental policy initiatives, as well as heightened geopolitical tensions, could significantly affect U.S. and global economic growth and cause higher volatility in the financial markets, including: monetary policies and actions taken by the federal reserve and other central banks or governmental authorities; fiscal policies, including with respect to taxation and spending; foreign policies; economic or financial sanctions; the implementation of tariffs and other protectionist trade policies; and changes to immigration policies.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types of political developments, and uncertainty about the possible outcomes of these developments, could: erode investor or consumer confidence in the U.S. economy and financial markets, which could potentially undermine the status of the U.S. dollar as a safe haven currency and cause stock price volatility; provoke retaliatory countermeasures by other countries and otherwise heighten tensions in regulatory, enforcement or diplomatic relations; increase the risk of targeted cyber attacks; increase concerns about whether the U.S. government will be funded, and its outstanding debt serviced, at any particular time; result in periodic shutdowns of the U.S. government; influence monetary policy actions of the federal reserve to moderate the economic impact of political developments; cause us to refrain from engaging in business opportunities that it might otherwise pursue; or cause us to have fewer business opportunities if governments or partners are unwilling to engage with us due to geopolitical tensions or adverse perceptions of U.S. businesses.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Ongoing geopolitical instability, including conflicts in the Middle East and related regional tensions, may contribute to volatility in global financial markets, including digital asset markets such as Bitcoin, which constitutes a significant portion of our treasury holdings. These events may also result in increased regulatory scrutiny, economic uncertainty, and disruptions to global capital markets, liquidity conditions, payment systems, or investor sentiment. Our ability to execute our business strategy, establish partnerships with financial institutions, and access capital may be adversely affected by changes in market conditions and investor sentiment resulting from geopolitical developments. Any such developments could adversely affect the value of our Bitcoin holdings and our ability to execute our broader treasury and growth strategies or cause us to have fewer business opportunities or partnerships.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potential outcomes of these developments could be significant, which could adversely affect our stock price or our business, results of operations, financial condition or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Our ability to execute our business strategy depends on attracting, retaining, and effectively managing a geographically distributed workforce.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execute our business strategy, including the development and commercialization of our tokenized deposit platform, management of our Bitcoin treasury strategy, cybersecurity, regulatory compliance, and public company reporting obligations, depends on our ability to attract, retain, and effectively manage highly qualified employees and consultants with specialized expertise. Competition for personnel with experience in blockchain technology, digital assets, banking, software development, cybersecurity, finance, accounting, legal, and regulatory compliance is intense, and there can be no assurance that we will be able to attract or retain the talent necessary to support our growth.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workforce includes employees and consultants working remotely located across multiple U.S. states and international jurisdictions. As a result, we are subject to diverse and evolving employment, payroll, tax, labor, immigration, privacy, and other regulatory requirements. Changes in these laws, or our failure to comply with them, could increase our operating costs, result in penalties or litigation, or disrupt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managing a geographically distributed workforce presents operational challenges, including maintaining effective collaboration, ensuring cybersecurity, preserving institutional knowledge, and maintaining a consistent corporate culture. The loss of key personnel, our inability to hire qualified replacements on a timely basis, or our failure to effectively manage our workforce could delay product development, impair execution of our business strategy, and materially adversely affect our business, financial condition, results of operations,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a “controlled company” within the meaning of the NYSE American rules and, as a result, we qualify for exemptions from certain corporate governance requirements. Our stockholders do not have the same protections afforded to stockholders of companies that are subject to such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Greg Kidd, our Chief Executive Officer and Chairman of the Board, beneficially owns a majority of the voting power of our outstanding common stock through his solely-owned entity, Goldeneye 1995 LLC (“Goldeneye”). As a result, we are a “controlled company” within the meaning of the NYSE American LLC Company Guide. Under the NYSE American rules, a company of which more than 50% of the voting power in the election of directors is held by an individual, group, or another company is a “controlled company” and may elect not to comply with certain corporate governance requirements. For example, controlled companies: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are not required to have a board of directors composed of a majority of “independent directors,” as defined under the NYSE American rules;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are not required to have a compensation committee that is composed entirely of independent directors;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are not required to have director nominations be made, or recommended to the full board of directors, by independent directors or by a nominations committee that is composed entirely of independent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because we qualify as a controlled company, we may elect to rely on these exemptions and not implement certain governance practices (such as a fully independent board or committees). To the extent we choose to do so, our stockholders will not have the same protections afforded to stockholders of companies that are subject to all of the NYSE American’s corporate governance requirements. In addition, because our controlling stockholder also serves as our Chief Executive Officer and Chairman, the lack of independent oversight may increase the potential for related-party transactions or conflicts of interest that could be adverse to minority stockholders.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largest stockholder will continue to have a substantial influence over us for the foreseeable future, including the outcome of matters requiring stockholder approval. This concentration of control may prevent you and other stockholders from influencing significant corporate decisions, and it may result in conflicts of interest that could cause our stock price to decline.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Goldeneye, our largest stockholder, beneficially owned approximately 73.3% of the issued and outstanding shares of our common stock, on a fully diluted basis (and a higher percentage on a non-diluted basis), and exercised a corresponding level of voting control. As a result, Mr. Kidd, through Goldeneye, has the ability to control or heavily influence the election of our directors and the outcome of corporate actions requiring stockholder approval, such as: (i) a merger or a sale of the Company, (ii) a sale of all or substantially all of our assets, and (iii) amendments to our articles of incorporation and bylaws. This concentration of voting power could discourage or prevent a change in control that minority stockholders might consider favorable and could result in the approval of transactions that might not reflect arm’s-length terms. The significant concentration of ownership may also reduce the liquidity and trading volume of our common stock and could result in a lower trading price. In addition, the significant concentration of stock ownership may adversely affect the market value of our common stock due to investors’ perception that conflicts of interest may exist or arise, or due to the reduced public float and liquidity of our shares. This risk overlaps with the risks discussed under “Risk Factors—Our Bitcoin treasury strategy exposes us to conflicts of interest and governance risks” because control by a single stockholder may also influence treasury-management decisions.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underwent a fundamental change in capitalization during 2025, and the issuance, repricing, or sale of substantial amounts of our common stock could result in significant dilution and adversely affect the market price of our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2025, in connection with our recapitalization and the adoption of our Amended and Restated 2021 Equity Incentive Plan, our outstanding shares of common stock increased materially from approximately 3 million as of December 31, 2024 to approximately 388 million as of June 30, 2026. The amended plan authorizes the issuance of up to 115.3 million shares of common stock, with an evergreen provision that may automatically add up to 15 million shares on January 1 of each calendar year through 2030. Effective January 1, 2026, pursuant to the evergreen provision of the amended plan, the maximum number of shares of common stock authorized under the amended plan was increased by 15 million shares to 130.3 million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and October 2025, we implemented significant equity-compensation actions, including the grant of new stock option awards and, in October, the repricing of the options granted in August, materially increasing the number of shares that may become eligible for future issuance, increasing our stock-based compensation expense.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2026, our Board of Directors approved the repricing of all outstanding stock options and the grant of new equity awards to new hire employees and consultants. The repricing will be accounted for as a modification under applicable accounting guidance and may result in incremental stock-based compensation expense. In addition, the issuance of new equity awards will increase our stock-based compensation expense in future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equity-based compensation as a key component of our incentive and retention strategy and we expect to continue granting stock options and other equity awards in the future. The issuance, vesting, or exercise of these awards, as well as any future equity financings, will increase the number of shares outstanding and may further dilute existing stockholders, reduce our earnings per share, and adversely affect the market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 significant portion of our outstanding common stock is held by our principal stockholder, members of management, and other affiliates, resulting in a relatively limited public float. A limited float may contribute to price volatility and reduced liquidity in our stock. Sales of substantial amounts of our common stock by us in future offerings, upon the exercise of equity awards, or by existing stockholders (including affiliates pursuant to Rule 144 or an effective registration statement), or even the perception that such sales could occur, could adversely affect the market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Future issuances of equity or debt securities could further dilute stockholders or adversely affect the value of our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our articles of incorporation, we are authorized to issue 750 million shares of common stock and 5 million shares of preferred stock. The issuance of additional equity or convertible securities could result in further dilution and may adversely affect the trading price of our common stock. Similarly, any issuance of debt securities could impose restrictive covenants or liens that limit our operational flexibility or subordinate equity holders’ claims in a liquidation.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also offer debt securities that have rights senior to those of our common stock or contain restrictive covenants, including liens on our assets. Because our decision to issue securities or incur debt in our future offerings will depend on market conditions and other factors beyond our control, we cannot predict or estimate the amount, timing or nature of our future offerings and debt financing. Further, market conditions could require us to accept less favorable terms for the issuance of our securities in the future. Thus, you will bear the risk of our future offerings, reducing the value of your shares and diluting your interest in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recently regained compliance with the continued listing standards of the NYSE American, but there can be no assurance that we will remain in compliance, and additional or revised listing standards could increase the risk of suspension or delisting.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NYSE American, and the continued listing of our common stock on the NYSE American is contingent upon our ongoing compliance with a number of listing requirements. These include minimum share price, minimum number of public stockholders and minimum stockholders’ equity requirements, among others.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27, 2024, we received a notice from the NYSE American stating that we were not in compliance with certain listing standards set forth in Sections 1003(a)(ii) and 1003(a)(iii) of the NYSE American LLC Company Guide. On December 10, 2024, the NYSE American accepted our plan to regain compliance and granted a plan period through March 27, 2026. As required by the NYSE American, we were obligated to provide quarterly updates concurrent with our interim and annual SEC filings and to demonstrate progress toward the initiatives outlined in our accepted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27, 2026, we received a letter from NYSE American notifying us that we had regained compliance with its continued listing standards and are no longer subject to a compliance plan. Additional information regarding these developments is incorporated by reference from our Current Report on Form 8-K filed on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NYSE American has proposed amendments to its listing standards that, if adopted and applicable to us, could permit the exchange to suspend trading in, and commence delisting proceedings against, a listed company under stricter standards than those currently in effect. One pending proposal would permit immediate suspension and commencement of delisting proceedings if a listed company’s common stock falls below $0.25 per share. A separate pending proposal would permit immediate suspension and delisting proceedings if a listed company’s average global market capitalization over a consecutive 30 trading-day period falls below $5.0 million. The proposed amendments also provide that an issuer that falls below these proposed thresholds would not be eligible to submit a compliance plan under Section 1009 of the Company Guide. These proposed amendments to the NYSE American listing standards are subject to review and approval by the SEC and may be modified prior to adoption. If approved, the timing of implementation could occur during 2026 or later. The proposed rule change was filed with the SEC on December 3, 2025 and published by the SEC for public comment on December 12, 2025, and the SEC’s notice contemplates a comment period ending 21 days after publication in the Federal Register. In addition, NYSE American has proposed to make the $0.25 minimum trading price requirement effective on October 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these proposed amendments are adopted and become applicable to us, and if we are unable to maintain compliance with these or other continued listing standards, NYSE American could suspend trading in our common stock and commence delisting proceedings, regardless of whether we are otherwise operating under a compliance plan. Our stock price has recently traded in a range that is significantly closer to $0.25 than historical levels, and continued declines could increase the risk of suspension or delisting if the proposed amendments are approved and become effective. If our common stock is delisted from NYSE American and we are unable to list on another national securities exchange, our common stock may only be eligible for quotation on the over-the-counter market. This could result in significant adverse consequences,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limited availability of market quotations for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reduced liquidity for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impaired ability to raise additional funds;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loss of institutional investor interest and decreased ability to issue additional securities or obtain financing in the future;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determination that our common stock is a “penny stock,” which would impose more stringent broker rules and possibly result in reduced trading activity;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limited news and analyst coverage;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breaches of our agreements under which we made representations or covenants regarding compliance with listing requirements, which could result in costly litigation, liabilities and diversion of management’s time and attention.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have regained compliance with the NYSE American continued listing standards, there is no assurance that we will be able to maintain ongoing compliance with its continued listing requirements in the future. In addition, any delisting or prolonged non-compliance could delay or limit commercialization of our tokenized-deposit initiative by impairing counterparties’ or regulators’ willingness to proceed with required approvals and integrations.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reverse stock split approved by our controlling stockholder may not achieve its intended benefits and may adversely affect the liquidity and market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15, 2026, Goldeneye, as the holder of a majority of the voting power of our common stock, approved by written consent a reverse stock split of our outstanding common stock at a ratio ranging from 1-for-2 to 1-for-5, which our Board of Directors had approved and recommended on June 12, 2026. Because Goldeneye holds a majority of our voting power, stockholder approval of the reverse stock split was obtained without the vote of any other stockholder.</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exact ratio and timing of the reverse stock split will be determined by the Company's discretion and may be effected, if at all, within twelve months following June 15, 2026, and it will not become effective until the requirements of Rule 14c-2 under the Exchange Act have been satisfied.</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reverse stock split, if effected, will increase or maintain the market price of our common stock, improve the marketability or liquidity of our common stock, or facilitate future capital-raising efforts.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Because the reverse stock split will not reduce the number of authorized shares of our common stock, the resulting relative increase in authorized but unissued shares could be used for future issuances that dilute existing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Because our stock price has fluctuated significantly and may remain volatile, the value of your investment may decline.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has been and is likely in the future to be volatile. Our common stock price may fluctuate in response to factors such as: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market price of Bitcoin and resulting unrealized gains or losses from our Bitcoin treasury strategy;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pre-launch developments in our tokenized-deposit initiative, including announcements of partnerships, pilot timing, product design, or regulatory feedback;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to, delays in, or termination of relationships with our banking or distribution/technology partners for tokenized deposits;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fluctuations in our financial results reflecting fair-value adjustments related to digital-asset holdings or share-based compensation;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announcements by us regarding liquidity, significant acquisitions, equity investments and divestitures, strategic relationships, addition or loss of significant customers and contracts, capital expenditure commitments and litigation;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issuance of stock options or other equity awards, convertible or equity securities and related warrants for general corporate or merger and acquisition purposes;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issuance or repayment of debt, accounts payable or convertible debt for general corporate or merger and acquisition purposes;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actual or perceived dilution arising from future equity financings or conversions;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sale of a significant number of shares of our common stock by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general market and economic conditions, including volatility in the digital-asset sector;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quarterly variations in our operating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investor and public relation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announcements of technological innovations;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new product introductions by us or our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competitive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low liquidity;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additions or departures of key personnel.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broad market and industry factors may have a material adverse effect on the market price of our common stock, regardless of our actual operating performance. These factors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do not anticipate paying any cash dividends on our capital stock in the foreseeable future.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capital stock. We currently intend to continue to retain all of our future net earnings, if any, to finance the growth and development of our business, and we do not anticipate paying any cash dividends on our capital stock in the foreseeable future. In addition, the terms of any future debt agreements may preclude us from paying dividends. As a result, capital appreciation, if any, of our common stock will be your sole source of gain for the foreseeable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Bitcoin Treasury Strategy and Holdings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Bitcoin price volatility and correlation to our stock could materially impact our financial results and market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Bitcoin’s price has experienced, and is expected to continue to experience, extreme volatility. Fluctuations in Bitcoin’s market price directly affect our reported net income or loss and may cause our stock to trade as a proxy for Bitcoin regardless of operational performance. Factors affecting Bitcoin’s price include investor sentiment, large-volume trading, market manipulation on unregulated venues, adverse publicity (including cybersecurity incidents or environmental critiques), regulatory posture and enforcement actions, macroeconomic conditions (such as interest rates and liquidity), technological competition, and breakthroughs that undermine cryptographic security. A material decline in Bitcoin’s price would directly reduce the value of our Bitcoin holdings, increase earnings volatility, and could adversely affect our financial condition and the market price of our common stock. See also “Risk Factors—Because our stock price has fluctuated significantly and may remain volatile, the value of your investment may decline.”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Concentration of our Bitcoin holdings and market-liquidity constraints magnify adverse outcomes.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assets is concentrated in Bitcoin, limiting diversification and increasing exposure to Bitcoin-specific risks. Periods of limited market liquidity or exchange disruptions may impair our ability to liquidate positions at favorable prices—or at all—especially during stress events. Bitcoin held with custodians is not insured by the FDIC or SIPC, and private insurance may be limited. These factors reduce our financial flexibility in periods of market disruption and can exacerbate downside moves.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not subject to legal and regulatory obligations that apply to investment companies such as mutual funds and exchange-traded funds, or to obligations applicable to investment advisers.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Mutual funds, ETFs and their directors and management are subject to extensive regulation as "investment companies” and “investment advisers” under U.S. federal and state law; this regulation is intended for the benefit of and protection of investors. We are not subject to, and do not otherwise voluntarily comply with, these laws and regulations. This means, among other things, that the execution of our Bitcoin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Our board of directors has broad discretion over the investment, leverage and cash management policies it authorizes, whether in respect of our Bitcoin holdings or other activities we may pursue, and has the power to change our current policies, including our Bitcoin strategy.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Bitcoin holdings are and will be less liquid than our existing cash and cash equivalents and may not be able to serve as a source of liquidity for us to the same extent as cash and cash equivalents.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the Bitcoin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For example, a number of Bitcoin trading venues temporarily halted deposits and withdrawals in 2022, although the Coinbase exchange (a major U.S.-based crypto exchange) has, to date, not done so. As a result, our Bitcoin holdings may not be able to serve as a source of liquidity for us to the same extent as cash and cash equivalents. Further, Bitcoin we hold with our custodians and transact with our trade execution partners will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Bitcoin or otherwise generate funds using our Bitcoin holdings, including in particular during times of market instability or when the price of Bitcoin has declined significantly. If we are unable to sell our Bitcoin, enter into additional capital raising transactions, including capital raising transactions using Bitcoin as collateral, or otherwise generate funds using Bitcoin holdings, or if we are forced to sell our Bitcoin at a significant loss, in order to meet our working capital requirements, our business and financial condition could be negatively impacted.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Counterparty, custody, and market-infrastructure risks, including contagion, could result in loss of assets or access.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rely on U.S. institutional-grade custodians and contractual protections intended to establish our property interest in custodially-held Bitcoin; however, applicable insolvency and property law for digital assets remains unsettled. If a custodian were to become insolvent or enter receivership, our custodially-held Bitcoin could be treated as part of the custodian’s bankruptcy estate, and we could be deemed an unsecured creditor. Broader industry failures (such as FTX, Celsius, Voyager, and BlockFi, and banking exits affecting crypto-related services) illustrate counterparty and contagion risks that can depress liquidity and prices, restrict venues, and create new operational risks. Even absent insolvency, operational failures, security breaches, or non-performance by trading partners or service providers could delay access to or result in a partial or total loss of holdings, materially adversely affecting our condition and stock price. Insurance for digital-asset activities may be limited or unavailable, increasing residual loss exposure.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Regulatory and accounting developments could increase compliance burdens and earnings volatility or restrict our 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Digital assets exist within a rapidly evolving legal framework in the United States and abroad. Regulatory actions or new rules—covering securities, commodities, money-transmission, anti-money-laundering, tax, or prudential supervision, could impose licensing or registration requirements, restrict custodial or trading services, or otherwise limit our ability to hold or transact in Bitcoin. In 2025 we adopted Accounting Standards Update No. 2023-08, which requires fair-value measurement of certain crypto assets with changes in value recognized in net income (loss). This change could materially increase variability in our reported results and reduce period-to-period comparability.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Bitcoin were deemed a “security,” our holdings could be treated as investment securities and we could be deemed an “investment company” under the Investment Company Act of 1940, fundamentally altering our operations and potentially forcing asset sales or restructuring to ensure conformity with exceptions provided by, and rules and regulations promulgated under, the Investment Company Act of 1940. We do not believe that we meet these definitions because we are primarily engaged in a non-investment company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valuation and financial-reporting controls for digital assets and derivatives are complex and involve significant judgment. Fair-value accounting requires estimates of market inputs and pricing data that may not be independently verifiable. If our valuation methods or internal controls prove inaccurate, we could be required to restate our financial statements or disclose a material weakness in internal control over financial reporting.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Yield-generation and derivative strategies are risky and relatively untested at public-company scale.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Bitcoin does not pay interest or dividends. We seek to generate yield or manage exposure through treasury strategies which may include lending, margin, or our current derivative trading strategy (such as selling calls or call spreads). These activities may expose us to leverage, counterparty default, and liquidity risk, including potential margin calls or forced liquidations during market volatility, which could materially reduce liquidity or magnify losses. In connection with these strategies, we may pledge digital assets as collateral under agreements that permit counterparties to exercise control and liquidate such assets without prior notice if margin requirements or other obligations are not met. While such arrangements are customary for institutional trading, they reduce our flexibility to deploy pledged assets and could result in asset sales at unfavorable prices during stress events. Our current Bitcoin treasury trading strategy, intended to boost holdings through premiums, has limited precedent across market cycles and may cap upside while increasing downside and earnings volatility under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Operational, technology, cybersecurity, and market-access risks could disrupt execution of our 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Secure custody depends on safeguarding private keys; loss, theft, or compromise (including custodian failures or cyberattacks) could permanently impair access to Bitcoin. Technological or cryptographic breakthroughs, including advances in quantum computing, or protocol failures could undermine Bitcoin’s security and value. We also rely on complex integrations, cloud infrastructure, and open-source and third-party software to operate securely and efficiently. Defects, outages, or vulnerabilities in these systems—or in the systems of our vendors—could interrupt service, delay transactions, or expose sensitive data. Cyberattacks, phishing, ransomware, or insider misconduct could compromise customer or company information and result in financial losses, regulatory scrutiny, or reputational harm. Perceived crypto-related risk may also limit access to traditional banking, payments, capital-markets services, or director-and-officer and other insurance, increasing costs and operational friction.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Product Development Initiatives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tokenized-deposit initiative has not yet launched which subjects this initiative to significant uncertainty.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continuing to develop our proposed products and services related to retail tokenized U.S.-dollar deposits, and our success depends on achieving technical validation.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20, 2026, we entered into a Strategic Partnership Agreement with Uphold and Vast Bank, which formalized the parties’ respective roles and responsibilities in connection with the development and operation of the U.S. Bank Coin tokenized-deposit network. While this agreement represents an important milestone, the initiative remains subject to significant risks and uncertainties. Management believes the pilot program for the tokenized deposit initiative demonstrates commercial potential. However, the amount and timing of future revenue is uncertain and is subject to customer adoption. The ultimate plans for the rollout of the future retail launch are dependent on a number of factors, including the outcome of the pilot program, which may not reflect full-scale deployment.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fail to demonstrate reliability, accuracy, and scalability, we may be unable to attract partners, obtain approvals, or generate revenue. There can be no assurance as to the timing, scope, or completion of any of these steps and either initiative may be delayed, modified, or discontinued if any required approvals are not obtained, if negotiations fail, or if our partners elect to pause or terminate participation.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unable to launch retail tokenized U.S. dollar deposits within anticipated timelines, or at all, if required approvals are delayed, modified, or not obtained.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be unable to launch any retail tokenized-deposit product within anticipated timelines, or at all, if any required regulatory, board, or banking-partner approvals are delayed, modified, or not obtained. Although we entered into a Strategic Partnership Agreement with Uphold and Vast Bank on January 20, 2026, the structure, rollout timeline and commercial launch of the contemplated product remain subject to ongoing technical, legal and regulatory review, the outcome of the pilot program, and the receipt of any required regulatory, board and banking-partner approvals. Any material changes in regulatory expectations, partner readiness, integration requirements, or supervisory feedback could delay, limit, or preclude commercialization.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ability to advance our tokenized-deposit initiative will depend entirely on the participation, regulatory standing, and technical readiness of third-party partners.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will rely on the continuing engagement and performance of our banking and technology partners to design, integrate, and operate the contemplated platform. Changes in a partner’s regulatory posture, risk appetite, operational capacity, or strategic priorities could delay, limit, or halt development. Cybersecurity incidents, commercial disputes, or turnover among key personnel could also increase costs, require re-engineering, or force us to identify and onboard replacements, any of which could materially affect our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heightened regulatory scrutiny of bank–fintech relationships may impose additional obligations or cause delays. U.S. banking regulators have issued guidance emphasizing enhanced oversight of third-party relationships, including due-diligence, monitoring, and approval expectations. If Vast Bank, or any future banking partner, becomes subject to restrictions, enforcement actions, or supervisory findings, it could be required to suspend or terminate its participation, which would compel us to seek alternative partners or pause the initiative altogether.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legal and regulatory framework for tokenized deposits is unsettled and may impose obligations that make the initiative impractical.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regulatory treatment of retail tokenized deposits, particularly with respect to FDIC insurance coverage, Regulation E, state money-transmission laws, bank third-party-risk-management standards, consumer-protection rules, and blockchain-settlement requirements, is evolving and uncertain, and may impose additional licensing, registration, or consumer-protection requirements that differ by jurisdiction. Regulators could determine that aspects of a proposed design are non-compliant or require licenses, charters, or additional controls, or could classify our tokenized deposits as securities, stablecoins, or other regulated instruments. Although we believe tokenized deposits represent traditional bank liabilities recorded on blockchain technology, regulators, including the SEC, OCC, or FDIC, could reach a different conclusion, which could require registration, licensing, or fundamental redesign of the program and materially limit or delay commercialization.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regulators were to determine that any aspect of our activities constitutes custody or money transmission, we could be required to obtain federal or state money-transmitter licenses, register with FinCEN, or comply with additional custodial-safeguarding and reporting obligations. Satisfying these requirements or the process of seeking licenses in multiple jurisdictions could delay or prevent the commercial launch of our tokenized-deposit initiative, materially increase our ongoing compliance costs, or require structural changes to our business model.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Regulators may require banks to maintain traditional core-banking and general-ledger systems even if tokenized-deposit architecture is used, which could increase costs or limit the design of the product.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contemplated tokenized-deposit design seeks to reduce reliance on traditional core-banking technology, U.S. banking regulators generally expect institutions to maintain comprehensive ledgering, reconciliation, operational-risk, and internal-control systems. There has been guidance, reports, and public statements issued by federal and state financial regulators regarding the legal permissibility of, and supervisory considerations relating to financial institutions engaging in blockchain-related activities. If regulators determine that blockchain-based infrastructure is insufficient to meet supervisory expectations, our banking partners may be required to maintain additional systems, controls, or vendors, which could increase costs, delay development, or limit the design of the product. Regulation of blockchain-related activities remains uncertain and will continue to evolve.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Developing a tokenized-deposit platform exposes us to significant development, operational, security, and technology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tokenized-deposit initiative will require substantial additional investments in software design, integration, and testing and require significant management time. Building and integrating mobile-application, blockchain, and banking-system infrastructure is costly, complex, and subject to execution risk. Development projects frequently exceed budget or schedule and may fail to deliver anticipated functionality or security. The product is heavily dependent on blockchain infrastructure and smart-contract functionality to represent deposit claims. Smart-contract defects, reconciliation errors between bank core systems and blockchain records, scalability limitations, or outages at infrastructure providers could result in loss of funds, service interruptions, or liability. Because these systems have not yet been formally implemented, the extent of these risks cannot yet be fully assessed.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Reputational or regulatory issues affecting our partners could harm the tokenized-deposit initiative, even if we are not directly implicated.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Adverse events at Vast Bank, Uphold, or other partners, such as enforcement actions, consent orders, or cybersecurity breaches, could reduce public trust, delay regulatory review, or constrain the design or rollout of any tokenized-deposit product which could damage our brand and adversely impact our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International access to tokenized deposits may be limited by sanctions, local-law restrictions, or bank-partner policies, which could materially reduce our addressable market and adversely affect our business, financial condition, results of operations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Access to tokenized deposits by non-U.S. persons will depend on the issuing bank’s policies and compliance with applicable U.S. and foreign laws, including OFAC sanctions, anti-money-laundering rules, and local financial-services regulations. Foreign regulators may restrict, prohibit, or impose additional requirements on the offering of tokenized deposits in their jurisdictions. These limitations could delay or restrict international availability of tokenized deposits, materially reducing the addressable market and potentially increasing compliance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Potential conflicts of interest involving our banking partner, if not appropriately addressed, could create regulatory or governance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Vice Chair, Linda Jenkinson, also serves as Chair and Chief Executive Officer of Vast Holdings, Inc., the holding company that owns Vast Bank which will be our initial bank partner for the tokenized-deposit initiative. In addition, our Chairman and CEO, Greg Kidd, owns a controlling interest in Vast Holdings, Inc., which may cause regulators to view our relationship with Vast Bank as a related-party transaction subject to heightened scrutiny. All terms of the recent collaboration with Vast Bank and Uphold were negotiated at arm’s length and approved by disinterested members of our Board. Any actual or perceived conflict could invite additional regulatory review or require enhanced governance measures, which could increase costs or delay progress on the tokenized-deposit initiative.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success will depend on retaining qualified management and technical personnel.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and future development efforts rely on the expertise of our management team and key technical employees, including software engineers, cybersecurity specialists, and compliance professionals. Competition for such talent in the fintech and digital-asset industries is intense. The loss of key employees could delay development initiatives, disrupt operations, or impair our ability to meet regulatory requirements. Replacing specialized personnel can be difficult and costly, particularly in emerging areas such as blockchain engineering and digital-asset compliance. If we fail to attract or retain qualified talent, our innovation and growth prospects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Intellectual property challenges could impair our ability to protect or commercialize our technology.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success will depend on maintaining and enforcing patents and proprietary rights related to our financial technologies. If competitors challenge, design around, or invalidate our patents, or if we fail to protect trade secrets, our competitive position could be materially weakened. Intellectual property disputes could also divert resources and delay development or commercialization.</w:t>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5" w:name="i70aaa872fe664ffd8dd102cac3349eff_113156"/>
      <w:bookmarkEnd w:id="5"/>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This prospectus and the documents incorporated by reference herein and therein contain forward-looking statements within the meaning of Section 27A of the Securities Act and Section 21E of the Exchange Act, about us and our industry that involve substantial risks and uncertainties. All statements other than statements of historical facts contained in this prospectus and the documents incorporated by reference herein and therein, including statements regarding general economic and market conditions, our future results of operations and financial condition, business strategy, and plans and objectives of management for future operations, are forward-looking statements. In some cases, forward-looking statements may be identified by words such as “anticipate,” “believe,” “can,” “contemplate,” “continue,” “could,” “design,” “estimate,” “expect,” “intend,” “may,” “might,” “plan,” “potentially,” “predict,” “project,” “seek,” “should,” “target,” “will,” “would,” or the negative of these terms or other similar terms or expressions, although not all forward-looking statements contain these identifying words.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 this prospectus and the documents incorporated by reference herein and therein are only predictions. These forward-looking statements are not historical facts, but rather are based on our current expectations, assumptions, and projections about future events. Although we believe that the expectations, assumptions, and projections on which these forward-looking statements are based are reasonable, they nonetheless could prove to be inaccurate, and as a result, the forward-looking statements based on those expectations, assumptions, and projections also could be inaccurate. Forward-looking statements are not guarantees of future performance. These forward-looking statements are subject to a number of known and unknown risks, uncertainties, assumptions, and other important factors, some of which are beyond our control, that may cause our actual results, performance or achievements to be materially different from any future results, performance or achievements expressed or implied by the forward-looking statements, including risks described in the section titled “Risk Factors” incorporated by reference into this prospectus from our Transition Report on Form 10-K for the period ended December 31, 2025, any subsequent Quarterly Reports on Form 10-Q or Current Reports on Form 8-K, our Preliminary Information Statement on Schedule 14C, where applicable, and all other information contained in or incorporated by reference into this prospectus, as updated by our subsequent filings under the Exchange Act of 1934, as amended (the “Exchange Act”), and in our other filings with the SEC.</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Other sections in this prospectus and the documents incorporated by reference herein and therein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 Given these uncertainties, current or prospective investors are cautioned not to place undue reliance on any such forward-looking statements.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made. Except as required by law, we undertake no obligation to update publicly any forward-looking statements for any reason after the date of this prospectus or to conform these statements to actual results or to changes in our expectations. You should read this prospectus, together with the documents we have filed with the SEC that are incorporated by reference herein and therein and any free writing prospectus that we may authorize for use in connection with this offering,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All forward-looking statements included in this prospectus and in the documents incorporated by reference in this prospectus are based on information available to us on the date of this prospectus or the date of the applicable document incorporated by reference. Except to the extent required by applicable laws or rules, we undertake no obligation to publicly update or revise these forward-looking statements, whether as a result of new information, future events or otherwise. </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6" w:name="i70aaa872fe664ffd8dd102cac3349eff_113160"/>
      <w:bookmarkEnd w:id="6"/>
      <w:r>
        <w:rPr>
          <w:rFonts w:ascii="Times New Roman;serif" w:hAnsi="Times New Roman;serif"/>
          <w:b/>
          <w:color w:val="000000"/>
          <w:sz w:val="20"/>
        </w:rPr>
        <w:t>USE OF PROCEEDS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All of the shares of common stock offered by the Selling Stockholders pursuant to this prospectus will be sold or disposed of by the Selling Stockholders for their respective accounts. We will not receive any proceeds from the sale or other disposition of the shares of common stock covered hereby.</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7" w:name="i70aaa872fe664ffd8dd102cac3349eff_113157"/>
      <w:bookmarkEnd w:id="7"/>
      <w:r>
        <w:rPr>
          <w:rFonts w:ascii="Times New Roman;serif" w:hAnsi="Times New Roman;serif"/>
          <w:b/>
          <w:color w:val="000000"/>
          <w:sz w:val="20"/>
        </w:rPr>
        <w:t>SELLING STOCKHOLDERS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This prospectus covers the sale or other disposition by the Selling Stockholders of up to 359,815,000 shares of our common stock. For additional information regarding the issuance of those shares of common stock, see “The Offering” above. We are registering the shares of common stock in order to permit the Selling Stockholders to offer the shares for resale from time to time. </w:t>
      </w:r>
    </w:p>
    <w:p>
      <w:pPr>
        <w:pStyle w:val="TextBody"/>
        <w:bidi w:val="0"/>
        <w:spacing w:before="0" w:after="0"/>
        <w:ind w:left="0" w:right="0" w:firstLine="675"/>
        <w:jc w:val="both"/>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This Amendment No. 3 reflects the removal of an aggregate of 7,819,098 shares previously included for registration on behalf of Cohen &amp; Company Securities, LLC and Fifth Era LLC following the removal of the restrictive legends on those shares pursuant to Rule 144 under the Securities Act. As a result, those shares are no longer being registered under this Registration Statement.</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table below lists the Selling Stockholders and other information regarding the beneficial ownership of the shares of common stock by the Selling Stockholders. The second column lists the number of shares of common stock beneficially owned by the Selling Stockholders, based on their ownership of the shares of common stock, as of July 2, 2026. The third column lists the shares of common stock being offered by this prospectus by the Selling Stockholders. The fourth column lists the shares of common stock beneficially owned by the Selling Stockholders assuming the sale of all of the shares of common stock covered by this prospectus. The fifth column represents the percentage of our issued and outstanding shares of common stock to be beneficially owned by the Selling Stockholders assuming the sale of all of the shares of common stock covered by this prospectus based on the number of shares of common stock issued and outstanding as of July 2, 2026.</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In accordance with the terms of a registration rights agreement with the Selling Stockholders, this prospectus generally covers the resale of at least the maximum number of shares of common stock issued pursuant to the Purchase Agreement, Engagement Letter and Consulting Agreement, entered with the Selling Stockholders, as applicable. The Selling Stockholders may sell all, some or none of their shares in this offering. See “Plan of Distribution.”</w:t>
      </w:r>
    </w:p>
    <w:p>
      <w:pPr>
        <w:pStyle w:val="TextBody"/>
        <w:bidi w:val="0"/>
        <w:spacing w:before="0" w:after="0"/>
        <w:ind w:left="0" w:right="0" w:firstLine="675"/>
        <w:jc w:val="both"/>
        <w:rPr/>
      </w:pPr>
      <w:r>
        <w:rPr/>
      </w:r>
    </w:p>
    <w:tbl>
      <w:tblPr>
        <w:tblW w:w="10205" w:type="dxa"/>
        <w:jc w:val="left"/>
        <w:tblInd w:w="0" w:type="dxa"/>
        <w:tblLayout w:type="fixed"/>
        <w:tblCellMar>
          <w:top w:w="28" w:type="dxa"/>
          <w:left w:w="28" w:type="dxa"/>
          <w:bottom w:w="28" w:type="dxa"/>
          <w:right w:w="28" w:type="dxa"/>
        </w:tblCellMar>
      </w:tblPr>
      <w:tblGrid>
        <w:gridCol w:w="725"/>
        <w:gridCol w:w="637"/>
        <w:gridCol w:w="641"/>
        <w:gridCol w:w="109"/>
        <w:gridCol w:w="109"/>
        <w:gridCol w:w="109"/>
        <w:gridCol w:w="874"/>
        <w:gridCol w:w="756"/>
        <w:gridCol w:w="758"/>
        <w:gridCol w:w="205"/>
        <w:gridCol w:w="205"/>
        <w:gridCol w:w="205"/>
        <w:gridCol w:w="379"/>
        <w:gridCol w:w="379"/>
        <w:gridCol w:w="383"/>
        <w:gridCol w:w="109"/>
        <w:gridCol w:w="109"/>
        <w:gridCol w:w="109"/>
        <w:gridCol w:w="109"/>
        <w:gridCol w:w="109"/>
        <w:gridCol w:w="109"/>
        <w:gridCol w:w="183"/>
        <w:gridCol w:w="183"/>
        <w:gridCol w:w="183"/>
        <w:gridCol w:w="183"/>
        <w:gridCol w:w="183"/>
        <w:gridCol w:w="188"/>
        <w:gridCol w:w="109"/>
        <w:gridCol w:w="109"/>
        <w:gridCol w:w="109"/>
        <w:gridCol w:w="254"/>
        <w:gridCol w:w="254"/>
        <w:gridCol w:w="254"/>
        <w:gridCol w:w="254"/>
        <w:gridCol w:w="254"/>
        <w:gridCol w:w="377"/>
      </w:tblGrid>
      <w:tr>
        <w:trPr/>
        <w:tc>
          <w:tcPr>
            <w:tcW w:w="72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Name of Selling Stockholder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Shares Owned Prior to the Offering </w:t>
            </w:r>
          </w:p>
        </w:tc>
        <w:tc>
          <w:tcPr>
            <w:tcW w:w="1756"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Shares Offered</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by</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this Prospectus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Shares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Owned</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after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Percentage of Shares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Beneficially Owned</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after Offering (%)</w:t>
            </w:r>
          </w:p>
          <w:p>
            <w:pPr>
              <w:pStyle w:val="TableContents"/>
              <w:bidi w:val="0"/>
              <w:spacing w:lineRule="auto" w:line="268" w:before="0" w:after="0"/>
              <w:jc w:val="center"/>
              <w:rPr>
                <w:rFonts w:ascii="Times New Roman;serif" w:hAnsi="Times New Roman;serif"/>
                <w:b/>
                <w:color w:val="000000"/>
                <w:sz w:val="13"/>
              </w:rPr>
            </w:pPr>
            <w:r>
              <w:rPr>
                <w:rFonts w:ascii="Times New Roman;serif" w:hAnsi="Times New Roman;serif"/>
                <w:b/>
                <w:color w:val="000000"/>
                <w:sz w:val="13"/>
              </w:rPr>
              <w:t>(1)</w:t>
            </w:r>
          </w:p>
        </w:tc>
      </w:tr>
      <w:tr>
        <w:trPr/>
        <w:tc>
          <w:tcPr>
            <w:tcW w:w="2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Goldeneye 1995 LLC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357,815,000</w:t>
            </w:r>
          </w:p>
        </w:tc>
        <w:tc>
          <w:tcPr>
            <w:tcW w:w="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357,815,000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J3E2A2Z LP</w:t>
            </w:r>
            <w:r>
              <w:rPr>
                <w:color w:val="000000"/>
              </w:rPr>
              <w:t xml:space="preserve"> </w:t>
            </w:r>
            <w:r>
              <w:rPr>
                <w:rFonts w:ascii="Times New Roman;serif" w:hAnsi="Times New Roman;serif"/>
                <w:b w:val="false"/>
                <w:color w:val="000000"/>
                <w:sz w:val="13"/>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2,000,000</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675"/>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Percentage is based on 388,144,429 shares of common stock outstanding as of July 2,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Robert Gregory Kidd, the Company’s Chief Executive Officer, Chairman and President, is the sole owner and manager of Goldeneye and exercises voting and dispositive power over all securities of the Company held by Goldeneye. The business address of Goldeneye is 26 State Route 28, #1186, Crystal Bay, NV 89402.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Ronald P. Erickson, former director and executive officer of the Company, is the Manager of J3E2A2Z LP and exercises voting and dispositive power over all securities of the Company held by J3E2A2Z. The business address of J3E2A2Z is 3835 Pleasant Beach Dr. NE Bainbridge Island, WA 98110.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Comprised of 2,000,000 shares issued to J3E2A2Z in connection with the redemption of the 16,916 issued and outstanding shares of the Series H Preferred Stock at the closing of the Private Placement. The warrants previously held by J3E2A2Z expired on January 30, 2026 and are no longer outstanding.</w:t>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8" w:name="i70aaa872fe664ffd8dd102cac3349eff_113158"/>
      <w:bookmarkEnd w:id="8"/>
      <w:r>
        <w:rPr>
          <w:rFonts w:ascii="Times New Roman;serif" w:hAnsi="Times New Roman;serif"/>
          <w:b/>
          <w:color w:val="000000"/>
          <w:sz w:val="20"/>
        </w:rPr>
        <w:t>PLAN OF DISTRIBUTION</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are registering the shares of common stock previously issued to permit the resale of these shares of common stock by the Selling Stockholders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Selling Stockholders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w:t>
      </w:r>
    </w:p>
    <w:p>
      <w:pPr>
        <w:pStyle w:val="TextBody"/>
        <w:bidi w:val="0"/>
        <w:spacing w:before="0" w:after="0"/>
        <w:ind w:left="0" w:right="0" w:firstLine="675"/>
        <w:jc w:val="both"/>
        <w:rPr/>
      </w:pPr>
      <w:r>
        <w:rPr/>
      </w:r>
    </w:p>
    <w:p>
      <w:pPr>
        <w:pStyle w:val="TextBody"/>
        <w:bidi w:val="0"/>
        <w:spacing w:lineRule="auto" w:line="288" w:before="0" w:after="0"/>
        <w:ind w:left="0" w:right="0" w:firstLine="315"/>
        <w:jc w:val="both"/>
        <w:rPr/>
      </w:pPr>
      <w:r>
        <w:rPr>
          <w:color w:val="000000"/>
        </w:rPr>
        <w:t>•</w:t>
      </w:r>
      <w:r>
        <w:rPr>
          <w:rFonts w:ascii="Times New Roman;serif" w:hAnsi="Times New Roman;serif"/>
          <w:b w:val="false"/>
          <w:color w:val="000000"/>
          <w:sz w:val="20"/>
        </w:rPr>
        <w:t>on any national securities exchange or quotation service on which the securities may be listed or quoted at the time of sale;</w:t>
      </w:r>
    </w:p>
    <w:p>
      <w:pPr>
        <w:pStyle w:val="TextBody"/>
        <w:bidi w:val="0"/>
        <w:spacing w:lineRule="auto" w:line="288" w:before="0" w:after="0"/>
        <w:ind w:left="0" w:right="0" w:firstLine="315"/>
        <w:jc w:val="both"/>
        <w:rPr/>
      </w:pPr>
      <w:r>
        <w:rPr>
          <w:color w:val="000000"/>
        </w:rPr>
        <w:t>•</w:t>
      </w:r>
      <w:r>
        <w:rPr>
          <w:rFonts w:ascii="Times New Roman;serif" w:hAnsi="Times New Roman;serif"/>
          <w:b w:val="false"/>
          <w:color w:val="000000"/>
          <w:sz w:val="20"/>
        </w:rPr>
        <w:t>in the over-the-counter market;</w:t>
      </w:r>
    </w:p>
    <w:p>
      <w:pPr>
        <w:pStyle w:val="TextBody"/>
        <w:bidi w:val="0"/>
        <w:spacing w:lineRule="auto" w:line="288" w:before="0" w:after="0"/>
        <w:ind w:left="0" w:right="0" w:firstLine="315"/>
        <w:jc w:val="both"/>
        <w:rPr/>
      </w:pPr>
      <w:r>
        <w:rPr>
          <w:color w:val="000000"/>
        </w:rPr>
        <w:t>•</w:t>
      </w:r>
      <w:r>
        <w:rPr>
          <w:rFonts w:ascii="Times New Roman;serif" w:hAnsi="Times New Roman;serif"/>
          <w:b w:val="false"/>
          <w:color w:val="000000"/>
          <w:sz w:val="20"/>
        </w:rPr>
        <w:t>in transactions otherwise than on these exchanges or systems or in the over-the-counter market;</w:t>
      </w:r>
    </w:p>
    <w:p>
      <w:pPr>
        <w:pStyle w:val="TextBody"/>
        <w:bidi w:val="0"/>
        <w:spacing w:lineRule="auto" w:line="288" w:before="0" w:after="0"/>
        <w:ind w:left="0" w:right="0" w:firstLine="315"/>
        <w:jc w:val="both"/>
        <w:rPr/>
      </w:pPr>
      <w:r>
        <w:rPr>
          <w:color w:val="000000"/>
        </w:rPr>
        <w:t>•</w:t>
      </w:r>
      <w:r>
        <w:rPr>
          <w:rFonts w:ascii="Times New Roman;serif" w:hAnsi="Times New Roman;serif"/>
          <w:b w:val="false"/>
          <w:color w:val="000000"/>
          <w:sz w:val="20"/>
        </w:rPr>
        <w:t>through the writing of options, whether such options are listed on an options exchange or otherwise;</w:t>
      </w:r>
    </w:p>
    <w:p>
      <w:pPr>
        <w:pStyle w:val="TextBody"/>
        <w:bidi w:val="0"/>
        <w:spacing w:lineRule="auto" w:line="288" w:before="0" w:after="0"/>
        <w:ind w:left="0" w:right="0" w:firstLine="315"/>
        <w:jc w:val="both"/>
        <w:rPr/>
      </w:pPr>
      <w:r>
        <w:rPr>
          <w:color w:val="000000"/>
        </w:rPr>
        <w:t>•</w:t>
      </w:r>
      <w:r>
        <w:rPr>
          <w:rFonts w:ascii="Times New Roman;serif" w:hAnsi="Times New Roman;serif"/>
          <w:b w:val="false"/>
          <w:color w:val="000000"/>
          <w:sz w:val="20"/>
        </w:rPr>
        <w:t>ordinary brokerage transactions and transactions in which the broker-dealer solicits purchasers;</w:t>
      </w:r>
    </w:p>
    <w:p>
      <w:pPr>
        <w:pStyle w:val="TextBody"/>
        <w:bidi w:val="0"/>
        <w:spacing w:lineRule="auto" w:line="288" w:before="0" w:after="0"/>
        <w:ind w:left="0" w:right="0" w:firstLine="315"/>
        <w:jc w:val="both"/>
        <w:rPr/>
      </w:pPr>
      <w:r>
        <w:rPr>
          <w:color w:val="000000"/>
        </w:rPr>
        <w:t>•</w:t>
      </w:r>
      <w:r>
        <w:rPr>
          <w:rFonts w:ascii="Times New Roman;serif" w:hAnsi="Times New Roman;serif"/>
          <w:b w:val="false"/>
          <w:color w:val="000000"/>
          <w:sz w:val="20"/>
        </w:rPr>
        <w:t>block trades in which the broker-dealer will attempt to sell the shares as agent but may position and resell a portion of the block as principal to facilitate the transaction;</w:t>
      </w:r>
    </w:p>
    <w:p>
      <w:pPr>
        <w:pStyle w:val="TextBody"/>
        <w:bidi w:val="0"/>
        <w:spacing w:lineRule="auto" w:line="288" w:before="0" w:after="0"/>
        <w:ind w:left="0" w:right="0" w:firstLine="315"/>
        <w:jc w:val="both"/>
        <w:rPr/>
      </w:pPr>
      <w:r>
        <w:rPr>
          <w:color w:val="000000"/>
        </w:rPr>
        <w:t>•</w:t>
      </w:r>
      <w:r>
        <w:rPr>
          <w:rFonts w:ascii="Times New Roman;serif" w:hAnsi="Times New Roman;serif"/>
          <w:b w:val="false"/>
          <w:color w:val="000000"/>
          <w:sz w:val="20"/>
        </w:rPr>
        <w:t>purchases by a broker-dealer as principal and resale by the broker-dealer for its account;</w:t>
      </w:r>
    </w:p>
    <w:p>
      <w:pPr>
        <w:pStyle w:val="TextBody"/>
        <w:bidi w:val="0"/>
        <w:spacing w:lineRule="auto" w:line="288" w:before="0" w:after="0"/>
        <w:ind w:left="0" w:right="0" w:firstLine="315"/>
        <w:jc w:val="both"/>
        <w:rPr/>
      </w:pPr>
      <w:r>
        <w:rPr>
          <w:color w:val="000000"/>
        </w:rPr>
        <w:t>•</w:t>
      </w:r>
      <w:r>
        <w:rPr>
          <w:rFonts w:ascii="Times New Roman;serif" w:hAnsi="Times New Roman;serif"/>
          <w:b w:val="false"/>
          <w:color w:val="000000"/>
          <w:sz w:val="20"/>
        </w:rPr>
        <w:t>an exchange distribution in accordance with the rules of the applicable exchange;</w:t>
      </w:r>
    </w:p>
    <w:p>
      <w:pPr>
        <w:pStyle w:val="TextBody"/>
        <w:bidi w:val="0"/>
        <w:spacing w:lineRule="auto" w:line="288" w:before="0" w:after="0"/>
        <w:ind w:left="0" w:right="0" w:firstLine="315"/>
        <w:jc w:val="both"/>
        <w:rPr/>
      </w:pPr>
      <w:r>
        <w:rPr>
          <w:color w:val="000000"/>
        </w:rPr>
        <w:t>•</w:t>
      </w:r>
      <w:r>
        <w:rPr>
          <w:rFonts w:ascii="Times New Roman;serif" w:hAnsi="Times New Roman;serif"/>
          <w:b w:val="false"/>
          <w:color w:val="000000"/>
          <w:sz w:val="20"/>
        </w:rPr>
        <w:t>privately negotiated transactions;</w:t>
      </w:r>
    </w:p>
    <w:p>
      <w:pPr>
        <w:pStyle w:val="TextBody"/>
        <w:bidi w:val="0"/>
        <w:spacing w:lineRule="auto" w:line="288" w:before="0" w:after="0"/>
        <w:ind w:left="0" w:right="0" w:firstLine="315"/>
        <w:jc w:val="both"/>
        <w:rPr/>
      </w:pPr>
      <w:r>
        <w:rPr>
          <w:color w:val="000000"/>
        </w:rPr>
        <w:t>•</w:t>
      </w:r>
      <w:r>
        <w:rPr>
          <w:rFonts w:ascii="Times New Roman;serif" w:hAnsi="Times New Roman;serif"/>
          <w:b w:val="false"/>
          <w:color w:val="000000"/>
          <w:sz w:val="20"/>
        </w:rPr>
        <w:t>short sales;</w:t>
      </w:r>
    </w:p>
    <w:p>
      <w:pPr>
        <w:pStyle w:val="TextBody"/>
        <w:bidi w:val="0"/>
        <w:spacing w:lineRule="auto" w:line="288" w:before="0" w:after="0"/>
        <w:ind w:left="0" w:right="0" w:firstLine="315"/>
        <w:jc w:val="both"/>
        <w:rPr/>
      </w:pPr>
      <w:r>
        <w:rPr>
          <w:color w:val="000000"/>
        </w:rPr>
        <w:t>•</w:t>
      </w:r>
      <w:r>
        <w:rPr>
          <w:rFonts w:ascii="Times New Roman;serif" w:hAnsi="Times New Roman;serif"/>
          <w:b w:val="false"/>
          <w:color w:val="000000"/>
          <w:sz w:val="20"/>
        </w:rPr>
        <w:t>sales pursuant to Rule 144;</w:t>
      </w:r>
    </w:p>
    <w:p>
      <w:pPr>
        <w:pStyle w:val="TextBody"/>
        <w:bidi w:val="0"/>
        <w:spacing w:lineRule="auto" w:line="288" w:before="0" w:after="0"/>
        <w:ind w:left="0" w:right="0" w:firstLine="315"/>
        <w:jc w:val="both"/>
        <w:rPr/>
      </w:pPr>
      <w:r>
        <w:rPr>
          <w:color w:val="000000"/>
        </w:rPr>
        <w:t>•</w:t>
      </w:r>
      <w:r>
        <w:rPr>
          <w:rFonts w:ascii="Times New Roman;serif" w:hAnsi="Times New Roman;serif"/>
          <w:b w:val="false"/>
          <w:color w:val="000000"/>
          <w:sz w:val="20"/>
        </w:rPr>
        <w:t>broker-dealers may agree with the selling security holder to sell a specified number of such shares at a stipulated price per share;</w:t>
      </w:r>
    </w:p>
    <w:p>
      <w:pPr>
        <w:pStyle w:val="TextBody"/>
        <w:bidi w:val="0"/>
        <w:spacing w:lineRule="auto" w:line="288" w:before="0" w:after="0"/>
        <w:ind w:left="0" w:right="0" w:firstLine="315"/>
        <w:jc w:val="both"/>
        <w:rPr/>
      </w:pPr>
      <w:r>
        <w:rPr>
          <w:color w:val="000000"/>
        </w:rPr>
        <w:t>•</w:t>
      </w:r>
      <w:r>
        <w:rPr>
          <w:rFonts w:ascii="Times New Roman;serif" w:hAnsi="Times New Roman;serif"/>
          <w:b w:val="false"/>
          <w:color w:val="000000"/>
          <w:sz w:val="20"/>
        </w:rPr>
        <w:t>a combination of any such methods of sale; and</w:t>
      </w:r>
    </w:p>
    <w:p>
      <w:pPr>
        <w:pStyle w:val="TextBody"/>
        <w:bidi w:val="0"/>
        <w:spacing w:lineRule="auto" w:line="288" w:before="0" w:after="0"/>
        <w:ind w:left="0" w:right="0" w:firstLine="315"/>
        <w:jc w:val="both"/>
        <w:rPr/>
      </w:pPr>
      <w:r>
        <w:rPr>
          <w:color w:val="000000"/>
        </w:rPr>
        <w:t>•</w:t>
      </w:r>
      <w:r>
        <w:rPr>
          <w:rFonts w:ascii="Times New Roman;serif" w:hAnsi="Times New Roman;serif"/>
          <w:b w:val="false"/>
          <w:color w:val="000000"/>
          <w:sz w:val="20"/>
        </w:rPr>
        <w:t>any other method permitted pursuant to applicable law.</w:t>
      </w:r>
    </w:p>
    <w:p>
      <w:pPr>
        <w:pStyle w:val="TextBody"/>
        <w:bidi w:val="0"/>
        <w:spacing w:before="0" w:after="0"/>
        <w:ind w:left="0" w:right="0" w:firstLine="675"/>
        <w:jc w:val="both"/>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Selling Stockholders may pledge or grant a security interest in some or all of the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of 1933, as amended,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pStyle w:val="TextBody"/>
        <w:bidi w:val="0"/>
        <w:spacing w:before="0" w:after="0"/>
        <w:ind w:left="0" w:right="0" w:firstLine="67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Selling Stockholders may also sell shares under Rule 144 promulgated under the Securities Act of 1933, as amended, or another exemption, if available, rather than under this prospectus. The Selling Stockholders shall have the sole and absolute discretion not to accept any purchase offer or make any sale of shares if it deems the purchase price to be unsatisfactory at any particular time.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Selling Stockholders and any other person participating in such distribution will be subject to applicable provisions of the Securities Exchange Act of 1934, as amended, and the rules and regulations thereunder, including, without limitation, Regulation M of the Exchange Act, which may limit the timing of purchases and sales of any of the shares of common stock by the Selling Stockholders and any other participating person. Regulation M may also restrict the ability of any person engaged in the distribution of the shares of common stock to engage in market- making activities with respect to the shares of common stock. All of the foregoing may affect the marketability of the shares of common stock and the ability of any person or entity to engage in market-making activities with respect to the shares of common stock.</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will pay all expenses of the registration of the shares of common stock pursuant to the registration rights agreement, estimated to be $147,684.24 in total, including, without limitation, Securities and Exchange Commission filing fees and expenses of compliance with state securities or “blue sky” laws; provided, however, that a Selling Stockholders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related registration rights agreement, or we may be entitled to contribution.</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Once sold under the registration statement, of which this prospectus forms a part, the shares of common stock will be freely tradable in the hands of persons other than our affiliates.</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9" w:name="i70aaa872fe664ffd8dd102cac3349eff_113153"/>
      <w:bookmarkEnd w:id="9"/>
      <w:r>
        <w:rPr>
          <w:rFonts w:ascii="Times New Roman;serif" w:hAnsi="Times New Roman;serif"/>
          <w:b/>
          <w:color w:val="000000"/>
          <w:sz w:val="20"/>
        </w:rPr>
        <w:t>DESCRIPTION OF SECURITIES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a description of our capital stock, including our common stock, and the material terms of the restatement of our articles of incorporation, as amended, and our second amended and restated bylaws see our Transition Report on Form 10-K for the transition period ended December 31, 2025, filed with the SEC and Exhibit 4.2 thereto, entitled Description of Securities, which are incorporated by reference in the registration statement of which this prospectus forms a part. See “Incorporation of Certain Information by Reference.” </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10" w:name="i70aaa872fe664ffd8dd102cac3349eff_113161"/>
      <w:bookmarkEnd w:id="10"/>
      <w:r>
        <w:rPr>
          <w:rFonts w:ascii="Times New Roman;serif" w:hAnsi="Times New Roman;serif"/>
          <w:b/>
          <w:color w:val="000000"/>
          <w:sz w:val="20"/>
        </w:rPr>
        <w:t>LEGAL MATTERS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validity of the shares of our common stock covered by this prospectus will be passed upon for us by Holland &amp; Hart LLP.</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11" w:name="i70aaa872fe664ffd8dd102cac3349eff_113150"/>
      <w:bookmarkEnd w:id="11"/>
      <w:r>
        <w:rPr>
          <w:rFonts w:ascii="Times New Roman;serif" w:hAnsi="Times New Roman;serif"/>
          <w:b/>
          <w:color w:val="000000"/>
          <w:sz w:val="20"/>
        </w:rPr>
        <w:t>EXPERTS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as of December 31, 2025 and September 30, 2025 and for the Transition Period from October 1, 2025 through December 31, 2025 and the fiscal year ended September 30, 2025, incorporated by reference herein have been so incorporated in reliance on the report of BPM LLP, an independent registered public accounting firm appearing in our report on Form 10-K for the Transition Period ended December 31, 2025, incorporated by reference herein, given on the authority of said firm as experts in auditing and accounting.</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12" w:name="i70aaa872fe664ffd8dd102cac3349eff_113154"/>
      <w:bookmarkEnd w:id="12"/>
      <w:r>
        <w:rPr>
          <w:rFonts w:ascii="Times New Roman;serif" w:hAnsi="Times New Roman;serif"/>
          <w:b/>
          <w:color w:val="000000"/>
          <w:sz w:val="20"/>
        </w:rPr>
        <w:t>ADDITIONAL INFORMATION</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have filed with the SEC a registration statement on Form S-1 under the Securities Act with respect to the securities offered by this prospectus. Pursuant to SEC rules, this prospectus, which is part of the registration statement, omits certain information, exhibits, schedules and undertakings set forth in the registration statement. For further information pertaining to us and our securities, reference is made to our SEC filings and to the registration statement and the exhibits and schedules to the registration statement of which this prospectus forms a part. Statements contained in this prospectus as to the contents or provisions of any documents referred to in this prospectus are not necessarily complete, and in each instance where a copy of the document has been filed as an exhibit to the registration statement, reference is made to the exhibit for a more complete description of the matters involved.</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In addition, registration statements and certain other filings made with the SEC electronically are publicly available through the SEC’s web site at http://www.sec.gov. The registration statement, including all exhibits and amendments to the registration statement, has been filed electronically with the SEC.</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are subject to the information and periodic reporting requirements of the Exchange Act and, in accordance with such requirements, will file periodic reports, proxy statements, and other information with the SEC. These periodic reports, proxy statements, and other information will be available for inspection and copying at the web site of the SEC referred to above. We also maintain a website at https://usbc.xyz/,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We have included our website address in this prospectus solely as an inactive textual reference.</w:t>
      </w:r>
    </w:p>
    <w:p>
      <w:pPr>
        <w:pStyle w:val="TextBody"/>
        <w:bidi w:val="0"/>
        <w:spacing w:before="0" w:after="0"/>
        <w:ind w:left="0" w:right="0" w:firstLine="675"/>
        <w:jc w:val="both"/>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The representations, warranties and covenants made by us in any agreement that is filed as an exhibit to any document that is incorporated by reference into this prospectus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13" w:name="i70aaa872fe664ffd8dd102cac3349eff_113151"/>
      <w:bookmarkEnd w:id="13"/>
      <w:r>
        <w:rPr>
          <w:rFonts w:ascii="Times New Roman;serif" w:hAnsi="Times New Roman;serif"/>
          <w:b/>
          <w:color w:val="000000"/>
          <w:sz w:val="20"/>
        </w:rPr>
        <w:t>INCORPORATION OF CERTAIN INFORMATION BY REFERENCE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incorporate by reference the documents listed below that we have previously filed with the SEC: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Quarterly Report on </w:t>
      </w:r>
      <w:hyperlink r:id="rId3">
        <w:r>
          <w:rPr>
            <w:rStyle w:val="InternetLink"/>
            <w:rFonts w:ascii="Times New Roman;serif" w:hAnsi="Times New Roman;serif"/>
            <w:b w:val="false"/>
            <w:color w:val="0000FF"/>
            <w:sz w:val="20"/>
            <w:u w:val="single"/>
          </w:rPr>
          <w:t>Form 10-Q</w:t>
        </w:r>
      </w:hyperlink>
      <w:r>
        <w:rPr>
          <w:color w:val="000000"/>
        </w:rPr>
        <w:t xml:space="preserve"> </w:t>
      </w:r>
      <w:r>
        <w:rPr>
          <w:rFonts w:ascii="Times New Roman;serif" w:hAnsi="Times New Roman;serif"/>
          <w:b w:val="false"/>
          <w:color w:val="000000"/>
          <w:sz w:val="20"/>
        </w:rPr>
        <w:t>for the quarterly period ended March 31, 2026 filed with the SEC on May 13,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Transition Report on </w:t>
      </w:r>
      <w:hyperlink r:id="rId4">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transition period from October 1, 2025 through December 31, 2025 filed with the SEC on March 25, 2026, as amended by Amendment No. 1 on Form 10-K/A filed with the SEC on April 27,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Annual Report on </w:t>
      </w:r>
      <w:hyperlink r:id="rId5">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 xml:space="preserve">for the fiscal year ended September 30, 2025 filed with the SEC on December 19, 2025;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Current Reports on Form 8-K filed with the SEC on </w:t>
      </w:r>
      <w:hyperlink r:id="rId6">
        <w:r>
          <w:rPr>
            <w:rStyle w:val="InternetLink"/>
            <w:rFonts w:ascii="Times New Roman;serif" w:hAnsi="Times New Roman;serif"/>
            <w:b w:val="false"/>
            <w:color w:val="0000FF"/>
            <w:sz w:val="20"/>
            <w:u w:val="single"/>
          </w:rPr>
          <w:t>October 3, 2025</w:t>
        </w:r>
      </w:hyperlink>
      <w:r>
        <w:rPr>
          <w:rFonts w:ascii="Times New Roman;serif" w:hAnsi="Times New Roman;serif"/>
          <w:b w:val="false"/>
          <w:color w:val="000000"/>
          <w:sz w:val="20"/>
        </w:rPr>
        <w:t xml:space="preserve">, </w:t>
      </w:r>
      <w:hyperlink r:id="rId7">
        <w:r>
          <w:rPr>
            <w:rStyle w:val="InternetLink"/>
            <w:rFonts w:ascii="Times New Roman;serif" w:hAnsi="Times New Roman;serif"/>
            <w:b w:val="false"/>
            <w:color w:val="0000FF"/>
            <w:sz w:val="20"/>
            <w:u w:val="single"/>
          </w:rPr>
          <w:t>October 8, 2025</w:t>
        </w:r>
      </w:hyperlink>
      <w:r>
        <w:rPr>
          <w:rFonts w:ascii="Times New Roman;serif" w:hAnsi="Times New Roman;serif"/>
          <w:b w:val="false"/>
          <w:color w:val="000000"/>
          <w:sz w:val="20"/>
        </w:rPr>
        <w:t xml:space="preserve">, </w:t>
      </w:r>
      <w:hyperlink r:id="rId8">
        <w:r>
          <w:rPr>
            <w:rStyle w:val="InternetLink"/>
            <w:rFonts w:ascii="Times New Roman;serif" w:hAnsi="Times New Roman;serif"/>
            <w:b w:val="false"/>
            <w:color w:val="0000FF"/>
            <w:sz w:val="20"/>
            <w:u w:val="single"/>
          </w:rPr>
          <w:t>November 21, 2025</w:t>
        </w:r>
      </w:hyperlink>
      <w:r>
        <w:rPr>
          <w:rFonts w:ascii="Times New Roman;serif" w:hAnsi="Times New Roman;serif"/>
          <w:b w:val="false"/>
          <w:color w:val="000000"/>
          <w:sz w:val="20"/>
        </w:rPr>
        <w:t xml:space="preserve">, </w:t>
      </w:r>
      <w:hyperlink r:id="rId9">
        <w:r>
          <w:rPr>
            <w:rStyle w:val="InternetLink"/>
            <w:rFonts w:ascii="Times New Roman;serif" w:hAnsi="Times New Roman;serif"/>
            <w:b w:val="false"/>
            <w:color w:val="0000FF"/>
            <w:sz w:val="20"/>
            <w:u w:val="single"/>
          </w:rPr>
          <w:t>December 17, 2025</w:t>
        </w:r>
      </w:hyperlink>
      <w:r>
        <w:rPr>
          <w:rFonts w:ascii="Times New Roman;serif" w:hAnsi="Times New Roman;serif"/>
          <w:b w:val="false"/>
          <w:color w:val="000000"/>
          <w:sz w:val="20"/>
        </w:rPr>
        <w:t xml:space="preserve">, </w:t>
      </w:r>
      <w:hyperlink r:id="rId10">
        <w:r>
          <w:rPr>
            <w:rStyle w:val="InternetLink"/>
            <w:rFonts w:ascii="Times New Roman;serif" w:hAnsi="Times New Roman;serif"/>
            <w:b w:val="false"/>
            <w:color w:val="0000FF"/>
            <w:sz w:val="20"/>
            <w:u w:val="single"/>
          </w:rPr>
          <w:t>December 19, 2025</w:t>
        </w:r>
      </w:hyperlink>
      <w:r>
        <w:rPr>
          <w:rFonts w:ascii="Times New Roman;serif" w:hAnsi="Times New Roman;serif"/>
          <w:b w:val="false"/>
          <w:color w:val="000000"/>
          <w:sz w:val="20"/>
        </w:rPr>
        <w:t xml:space="preserve">, </w:t>
      </w:r>
      <w:hyperlink r:id="rId11">
        <w:r>
          <w:rPr>
            <w:rStyle w:val="InternetLink"/>
            <w:rFonts w:ascii="Times New Roman;serif" w:hAnsi="Times New Roman;serif"/>
            <w:b w:val="false"/>
            <w:color w:val="0000FF"/>
            <w:sz w:val="20"/>
            <w:u w:val="single"/>
          </w:rPr>
          <w:t>January 12, 2026</w:t>
        </w:r>
      </w:hyperlink>
      <w:r>
        <w:rPr>
          <w:rFonts w:ascii="Times New Roman;serif" w:hAnsi="Times New Roman;serif"/>
          <w:b w:val="false"/>
          <w:color w:val="000000"/>
          <w:sz w:val="20"/>
        </w:rPr>
        <w:t>, J</w:t>
      </w:r>
      <w:hyperlink r:id="rId12">
        <w:r>
          <w:rPr>
            <w:rStyle w:val="InternetLink"/>
            <w:rFonts w:ascii="Times New Roman;serif" w:hAnsi="Times New Roman;serif"/>
            <w:b w:val="false"/>
            <w:color w:val="0000FF"/>
            <w:sz w:val="20"/>
            <w:u w:val="single"/>
          </w:rPr>
          <w:t>anuary 13, 2026</w:t>
        </w:r>
      </w:hyperlink>
      <w:r>
        <w:rPr>
          <w:rFonts w:ascii="Times New Roman;serif" w:hAnsi="Times New Roman;serif"/>
          <w:b w:val="false"/>
          <w:color w:val="000000"/>
          <w:sz w:val="20"/>
        </w:rPr>
        <w:t xml:space="preserve">, </w:t>
      </w:r>
      <w:hyperlink r:id="rId13">
        <w:r>
          <w:rPr>
            <w:rStyle w:val="InternetLink"/>
            <w:rFonts w:ascii="Times New Roman;serif" w:hAnsi="Times New Roman;serif"/>
            <w:b w:val="false"/>
            <w:color w:val="0000FF"/>
            <w:sz w:val="20"/>
            <w:u w:val="single"/>
          </w:rPr>
          <w:t>January 26, 2026</w:t>
        </w:r>
      </w:hyperlink>
      <w:r>
        <w:rPr>
          <w:rFonts w:ascii="Times New Roman;serif" w:hAnsi="Times New Roman;serif"/>
          <w:b w:val="false"/>
          <w:color w:val="000000"/>
          <w:sz w:val="20"/>
        </w:rPr>
        <w:t xml:space="preserve">, </w:t>
      </w:r>
      <w:hyperlink r:id="rId14">
        <w:r>
          <w:rPr>
            <w:rStyle w:val="InternetLink"/>
          </w:rPr>
          <w:t xml:space="preserve">March 10, 2026, </w:t>
        </w:r>
      </w:hyperlink>
      <w:hyperlink r:id="rId15">
        <w:r>
          <w:rPr>
            <w:rStyle w:val="InternetLink"/>
          </w:rPr>
          <w:t>March 24, 2026</w:t>
        </w:r>
      </w:hyperlink>
      <w:r>
        <w:rPr>
          <w:rFonts w:ascii="Times New Roman;serif" w:hAnsi="Times New Roman;serif"/>
          <w:b w:val="false"/>
          <w:color w:val="000000"/>
          <w:sz w:val="20"/>
        </w:rPr>
        <w:t xml:space="preserve">, </w:t>
      </w:r>
      <w:hyperlink r:id="rId16">
        <w:r>
          <w:rPr>
            <w:rStyle w:val="InternetLink"/>
            <w:rFonts w:ascii="Times New Roman;serif" w:hAnsi="Times New Roman;serif"/>
            <w:b w:val="false"/>
            <w:color w:val="0000FF"/>
            <w:sz w:val="20"/>
            <w:u w:val="single"/>
          </w:rPr>
          <w:t>March 31, 2026</w:t>
        </w:r>
      </w:hyperlink>
      <w:r>
        <w:rPr>
          <w:rFonts w:ascii="Times New Roman;serif" w:hAnsi="Times New Roman;serif"/>
          <w:b w:val="false"/>
          <w:color w:val="000000"/>
          <w:sz w:val="20"/>
        </w:rPr>
        <w:t xml:space="preserve">, </w:t>
      </w:r>
      <w:hyperlink r:id="rId17">
        <w:r>
          <w:rPr>
            <w:rStyle w:val="InternetLink"/>
            <w:rFonts w:ascii="Times New Roman;serif" w:hAnsi="Times New Roman;serif"/>
            <w:b w:val="false"/>
            <w:color w:val="0000FF"/>
            <w:sz w:val="20"/>
            <w:u w:val="single"/>
          </w:rPr>
          <w:t>April 2, 2026</w:t>
        </w:r>
      </w:hyperlink>
      <w:r>
        <w:rPr>
          <w:color w:val="000000"/>
        </w:rPr>
        <w:t xml:space="preserve"> </w:t>
      </w:r>
      <w:r>
        <w:rPr>
          <w:rFonts w:ascii="Times New Roman;serif" w:hAnsi="Times New Roman;serif"/>
          <w:b w:val="false"/>
          <w:color w:val="000000"/>
          <w:sz w:val="20"/>
        </w:rPr>
        <w:t xml:space="preserve">and </w:t>
      </w:r>
      <w:hyperlink r:id="rId18">
        <w:r>
          <w:rPr>
            <w:rStyle w:val="InternetLink"/>
            <w:rFonts w:ascii="Times New Roman;serif" w:hAnsi="Times New Roman;serif"/>
            <w:b w:val="false"/>
            <w:color w:val="0000FF"/>
            <w:sz w:val="20"/>
            <w:u w:val="single"/>
          </w:rPr>
          <w:t>April 15, 2026</w:t>
        </w:r>
      </w:hyperlink>
      <w:r>
        <w:rPr>
          <w:rFonts w:ascii="Times New Roman;serif" w:hAnsi="Times New Roman;serif"/>
          <w:b w:val="false"/>
          <w:color w:val="000000"/>
          <w:sz w:val="20"/>
        </w:rPr>
        <w:t xml:space="preserve">, </w:t>
      </w:r>
      <w:hyperlink r:id="rId19">
        <w:r>
          <w:rPr>
            <w:rStyle w:val="InternetLink"/>
          </w:rPr>
          <w:t>May</w:t>
        </w:r>
      </w:hyperlink>
      <w:hyperlink r:id="rId20">
        <w:r>
          <w:rPr>
            <w:rStyle w:val="InternetLink"/>
          </w:rPr>
          <w:t xml:space="preserve"> 1, 2026</w:t>
        </w:r>
      </w:hyperlink>
      <w:r>
        <w:rPr>
          <w:rFonts w:ascii="Times New Roman;serif" w:hAnsi="Times New Roman;serif"/>
          <w:b w:val="false"/>
          <w:color w:val="000000"/>
          <w:sz w:val="20"/>
        </w:rPr>
        <w:t xml:space="preserve">, </w:t>
      </w:r>
      <w:hyperlink r:id="rId21">
        <w:r>
          <w:rPr>
            <w:rStyle w:val="InternetLink"/>
            <w:rFonts w:ascii="Times New Roman;serif" w:hAnsi="Times New Roman;serif"/>
            <w:b w:val="false"/>
            <w:color w:val="0000FF"/>
            <w:sz w:val="20"/>
            <w:u w:val="single"/>
          </w:rPr>
          <w:t>June 4, 2026</w:t>
        </w:r>
      </w:hyperlink>
      <w:r>
        <w:rPr>
          <w:rFonts w:ascii="Times New Roman;serif" w:hAnsi="Times New Roman;serif"/>
          <w:b w:val="false"/>
          <w:color w:val="000000"/>
          <w:sz w:val="20"/>
        </w:rPr>
        <w:t xml:space="preserve">, and </w:t>
      </w:r>
      <w:hyperlink r:id="rId22">
        <w:r>
          <w:rPr>
            <w:rStyle w:val="InternetLink"/>
          </w:rPr>
          <w:t>June 22, 2026</w:t>
        </w:r>
      </w:hyperlink>
      <w:hyperlink r:id="rId23">
        <w:r>
          <w:rPr>
            <w:rStyle w:val="InternetLink"/>
          </w:rPr>
          <w:t xml:space="preserve"> </w:t>
        </w:r>
      </w:hyperlink>
      <w:r>
        <w:rPr>
          <w:rFonts w:ascii="Times New Roman;serif" w:hAnsi="Times New Roman;serif"/>
          <w:b w:val="false"/>
          <w:color w:val="000000"/>
          <w:sz w:val="20"/>
        </w:rPr>
        <w:t>(other than any portions thereof deemed furnished and not filed);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description of our common stock contained in our Registration Statement on </w:t>
      </w:r>
      <w:hyperlink r:id="rId24">
        <w:r>
          <w:rPr>
            <w:rStyle w:val="InternetLink"/>
            <w:rFonts w:ascii="Times New Roman;serif" w:hAnsi="Times New Roman;serif"/>
            <w:b w:val="false"/>
            <w:color w:val="0000FF"/>
            <w:sz w:val="20"/>
            <w:u w:val="single"/>
          </w:rPr>
          <w:t>Form 8-A</w:t>
        </w:r>
      </w:hyperlink>
      <w:r>
        <w:rPr>
          <w:rFonts w:ascii="Times New Roman;serif" w:hAnsi="Times New Roman;serif"/>
          <w:b w:val="false"/>
          <w:color w:val="000000"/>
          <w:sz w:val="20"/>
        </w:rPr>
        <w:t xml:space="preserve">, filed with the SEC on September 15, 2022 as updated by the Description of Securities set forth on </w:t>
      </w:r>
      <w:hyperlink r:id="rId25">
        <w:r>
          <w:rPr>
            <w:rStyle w:val="InternetLink"/>
            <w:rFonts w:ascii="Times New Roman;serif" w:hAnsi="Times New Roman;serif"/>
            <w:b w:val="false"/>
            <w:color w:val="0000FF"/>
            <w:sz w:val="20"/>
            <w:u w:val="single"/>
          </w:rPr>
          <w:t>Exhibit 4.2</w:t>
        </w:r>
      </w:hyperlink>
      <w:r>
        <w:rPr>
          <w:color w:val="000000"/>
        </w:rPr>
        <w:t xml:space="preserve"> </w:t>
      </w:r>
      <w:r>
        <w:rPr>
          <w:rFonts w:ascii="Times New Roman;serif" w:hAnsi="Times New Roman;serif"/>
          <w:b w:val="false"/>
          <w:color w:val="000000"/>
          <w:sz w:val="20"/>
        </w:rPr>
        <w:t>to our Transition Report on Form 10-K filed with the SEC on March 25, 2026, including any amendments or reports filed for the purpose of updating such description.</w:t>
      </w:r>
    </w:p>
    <w:p>
      <w:pPr>
        <w:pStyle w:val="TextBody"/>
        <w:bidi w:val="0"/>
        <w:spacing w:before="0" w:after="0"/>
        <w:jc w:val="both"/>
        <w:rPr/>
      </w:pPr>
      <w:r>
        <w:rPr/>
      </w:r>
    </w:p>
    <w:p>
      <w:pPr>
        <w:pStyle w:val="TextBody"/>
        <w:bidi w:val="0"/>
        <w:spacing w:lineRule="auto" w:line="288" w:before="0" w:after="0"/>
        <w:ind w:left="0" w:right="0" w:firstLine="675"/>
        <w:jc w:val="both"/>
        <w:rPr/>
      </w:pPr>
      <w:r>
        <w:rPr>
          <w:rFonts w:ascii="Times New Roman;serif" w:hAnsi="Times New Roman;serif"/>
          <w:b w:val="false"/>
          <w:color w:val="000000"/>
          <w:sz w:val="20"/>
        </w:rPr>
        <w:t xml:space="preserve">All reports and other documents that we file with the SEC under Sections 13(a), 13(c), 14 or 15(d) of the Exchange Act after the date of this prospectus but prior to the termination of the offering of the securities hereunder will also be considered to be incorporated by reference into this prospectus from the date of the filing of these reports and documents, and will supersede the information herein; </w:t>
      </w:r>
      <w:r>
        <w:rPr>
          <w:rFonts w:ascii="Times New Roman;serif" w:hAnsi="Times New Roman;serif"/>
          <w:b w:val="false"/>
          <w:i/>
          <w:color w:val="000000"/>
          <w:sz w:val="20"/>
        </w:rPr>
        <w:t>provided, however</w:t>
      </w:r>
      <w:r>
        <w:rPr>
          <w:rFonts w:ascii="Times New Roman;serif" w:hAnsi="Times New Roman;serif"/>
          <w:b w:val="false"/>
          <w:color w:val="000000"/>
          <w:sz w:val="20"/>
        </w:rPr>
        <w:t>, that all reports, exhibits and other information that we “furnish” to the SEC will not be considered incorporated by reference into this prospectus. Any statement contained in a document incorporated by reference in this prospectus or any prospectus supplement shall be deemed to be modified or superseded to the extent that a statement contained herein, therein or in any other subsequently filed document that also is incorporated by reference herein or therein modifies or supersedes such statement. Any statement so modified or superseded shall not be deemed, except as so modified or superseded, to constitute a part of this prospectus or any prospectus supplement.</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 USBC, Inc., Attn: Chief Financial Officer, 300 E 2nd Street, 15th Floor, Reno, NV 89501. You may also direct any requests for documents to us by telephone at 775-239-7673.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359,815,000 Shares of Common Stock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13. Other Expenses of Issuance and Distribution</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fees and expenses payable by us in connection with the offering of the securities being registered. All amounts are estimated except the SEC registration fee.</w:t>
      </w:r>
    </w:p>
    <w:p>
      <w:pPr>
        <w:pStyle w:val="TextBody"/>
        <w:bidi w:val="0"/>
        <w:spacing w:before="0" w:after="0"/>
        <w:ind w:left="0" w:right="0" w:firstLine="675"/>
        <w:jc w:val="both"/>
        <w:rPr/>
      </w:pPr>
      <w:r>
        <w:rPr/>
      </w:r>
    </w:p>
    <w:tbl>
      <w:tblPr>
        <w:tblW w:w="4667" w:type="dxa"/>
        <w:jc w:val="left"/>
        <w:tblInd w:w="0" w:type="dxa"/>
        <w:tblLayout w:type="fixed"/>
        <w:tblCellMar>
          <w:top w:w="28" w:type="dxa"/>
          <w:left w:w="28" w:type="dxa"/>
          <w:bottom w:w="28" w:type="dxa"/>
          <w:right w:w="28" w:type="dxa"/>
        </w:tblCellMar>
      </w:tblPr>
      <w:tblGrid>
        <w:gridCol w:w="1126"/>
        <w:gridCol w:w="987"/>
        <w:gridCol w:w="992"/>
        <w:gridCol w:w="109"/>
        <w:gridCol w:w="109"/>
        <w:gridCol w:w="109"/>
        <w:gridCol w:w="540"/>
        <w:gridCol w:w="541"/>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41,650.74 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30,540.00 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70,493.50 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Printing and miscellaneous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147,684.24 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14. Indemnification of Directors and Officers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are a Nevada corporation. The Nevada Revised Statutes, or NRS, and certain provisions of our articles of incorporation and bylaws under certain circumstances provide for indemnification of our directors, officers, employees and agents against certain liabilities which they may incur in such capacities. A summary of the circumstances in which such indemnification is set forth below, but this description is qualified in its entirety by reference to our articles of incorporation and bylaws and to the relevant statutory provisions, including NRS 78.7502, 78.751 and 78.752.</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In general, our articles of incorporation provide that any officer, director, employee or agent may be indemnified against expenses, fines, settlements or judgments arising in connection with a legal proceeding to which such person is a party, if that person acted in good faith and in a manner which he or she reasonably believed to be in or not opposed to the best interests of the Company, and, with respect to any criminal action or proceeding, had no reasonable cause to believe his or her conduct was unlawful. Our bylaws further provide that each person who was or is made a party or is threatened to be made a party to any action, suit or proceeding, whether civil, criminal, administrative or investigative, by reason of the fact such person is or was a director or officer of the Company or is or was serving at the request of the Company as a director or officer of another enterprise, shall be indemnified and held harmless by the Company to the fullest extent permitted by the NRS against all expense, liability and loss (including attorneys’ fees, judgments, fines or penalties and amounts paid in settlement) reasonably incurred or suffered by such person in connection therewith.</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NRS 78.751 provides that indemnification may not be made to or on behalf of any director or officer finally adjudged by a court of competent jurisdiction, after exhaustion of any appeals taken therefrom, to be liable for intentional misconduct, fraud or a knowing violation of the law if such intentional misconduct, fraud or a knowing violation of the law was material to the cause of action. However, NRS 78.752 permits us to purchase and maintain insurance on behalf of our directors, officers, employees or agents against any liability asserted against or incurred by such person in any such capacity or arising out of such person’s status as such, whether or not we would have the power to indemnify such person against such liabilities.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To the maximum extent permitted by law, our articles of incorporation eliminate or limit the liability of our directors to us or our stockholders for monetary damages for breach of a director’s fiduciary duty as a director. NRS 78.138(7) further provides that, subject to limited statutory exceptions and unless the articles of incorporation or an amendment thereto (in each case filed on or after October 1, 2003) provide for greater individual liability, a director or officer is not individually liable to a Nevada corporation or its stockholders or creditors for any damages as a result of any act or failure to act in his or her capacity as a director or officer unless the presumption established by NRS 78.138(3) has been rebutted and it is proven that (i) his or her act or failure to act constituted a breach of his or her fiduciary duties as a director or officer, and (ii) such breach involved intentional misconduct, fraud or a knowing violation of the law.</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have entered into separate indemnification agreements with our directors and executive officers. Each indemnification agreement provides, among other things, for indemnification to the fullest extent permitted by law and our articles of incorporation and bylaws against any and all expenses, judgments, fines, penalties and amounts paid in settlement of any claim. The indemnification agreements will provide for the advancement or payment of all expenses to the indemnitee and for reimbursement to us if it is found that such indemnitee is not entitled to such indemnification under applicable law and our articles of incorporation and bylaws.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have a directors’ and officers’ liability insurance policy in place pursuant to which its directors and officers are insured against certain liabilities, including certain liabilities under the Securities Act and the Exchange Act of 1934, as amended.</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hereby in the Securities Act and we will be governed by the final adjudication of such issue.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Item 15.</w:t>
      </w:r>
      <w:r>
        <w:rPr>
          <w:color w:val="000000"/>
        </w:rPr>
        <w:t xml:space="preserve"> </w:t>
      </w:r>
      <w:r>
        <w:rPr>
          <w:rFonts w:ascii="Times New Roman;serif" w:hAnsi="Times New Roman;serif"/>
          <w:b/>
          <w:color w:val="000000"/>
          <w:sz w:val="20"/>
        </w:rPr>
        <w:t>Recent Sales of Unregistered Securities.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In the three years preceding the filing of this registration statement, the Company made sales of the following unregistered securities. All of the offerings and sales described below are exempt from the registration requirements of the Securities Act under Rule 506 of Regulation D and/or Section 4(a)(2) of the Securities Act.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Fiscal Year Ended September 30, 2023</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September 30, 2023, we issued an aggregate of 67,068 shares of common stock related to warrant exercises and received $387,335.</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June 27, 2023, Mr. Struve converted dividends of $350,696 into 35,070 shares of its common stock related to the conversion of Series D Convertible Preferred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Fiscal Year Ended September 30, 2024</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27, 2024, we entered into a securities purchase agreement with Lind Global Fund II, LP (“Lind”), pursuant to which we may issue Lind one or more senior convertible notes in the aggregate principal amount of up to $14,400,000 for an aggregate purchase price equal to up to $12,000,000, convertible into shares of the our common stock at an initial conversion price of $1.00 per share, and warrants to purchase up to 6,000,000 shares of our common stock at an initial exercise price of $0.80 per share, subject to adjustment, in exchange for an aggregate purchase price of $4,000,000. In addition, we issued 102,302 shares of common stock to The Benchmark Company, LLC, who served as the exclusive placement agent in connection with the offering. </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March 7, 2024, we issued 102,302 shares of our common stock at $0.782 with a total value of $80,000 per share related to a debt offering. The $80,000 was recorded as debt issuance costs and is amortized over the two-year term of the debt.</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March 8, 2024, we issued 714,828 shares of our common stock in a cashless warrant exercise.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May 24, 2024, we issued 108,500 shares of our common stock related to 108,500 warrants exercised at $0.25 per share.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June 18, 2024, Mr. Struve converted dividends of $800,384 into 3,201,534 shares of our common stock related to the conversion of Series C and D Convertible Preferred Stock.</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June 27, 2024, we issued 546,697 shares of our common stock at $0.44 per share related to a principal payment of convertible debt settled with a common stock issuance for a total value of $240,000.</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August 28, 2024, we issued 30,000 shares of our common stock at $0.26 per share and received $7,800 related to a warrant exercise.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Fiscal Year Ended September 30, 2025</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2024, we issued 1,818,181 shares of our common stock at $0.132 per share related to a principal payment of convertible debt settled with a common stock issuance for a total value of $240,000.</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we issued 428,573 shares of our common stock at $1.74 per share related to a principal payment of convertible debt settled with a common stock issuance for a total value of $746,001.</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June 2, 2025, we issued 16,916 shares of Series H Preferred Stock upon the redemption of $1,184,066 in aggregate principal under certain of our promissory notes.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June 30, 2025, we issued 400,000 shares of common stock to employees, directors and investors. The shares were valued at $0.44 per share and the Company expensed $176,000 related to the issuances.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2025, we issued an aggregate of 3,295,379 shares of common stock in connection with the repayment of the Struve Loan Documents and an aggregate of 8,333,440 shares of common stock in connection with the conversion of all outstanding shares of Series C Preferred Stock and Series D Preferred Stock, and all deemed dividends. </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August 6, 2025, the Series H Preferred Stock holder elected to redeem all outstanding shares of Series H Preferred Stock in a combination of cash and common stock, resulting in the issuance of 2,000,000 shares of common stock.</w:t>
      </w:r>
    </w:p>
    <w:p>
      <w:pPr>
        <w:pStyle w:val="TextBody"/>
        <w:bidi w:val="0"/>
        <w:spacing w:before="0" w:after="0"/>
        <w:jc w:val="left"/>
        <w:rPr/>
      </w:pPr>
      <w:r>
        <w:rPr/>
      </w:r>
    </w:p>
    <w:p>
      <w:pPr>
        <w:pStyle w:val="TextBody"/>
        <w:bidi w:val="0"/>
        <w:spacing w:lineRule="auto" w:line="26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On August 6, 2025, we issued approximately 357.8 million shares of our common stock to Goldeneye in the Private Placement, at a purchase price per share of $0.335. In addition, we issued 3,909,549 shares of our common stock to Cohen &amp; Company Securities, LLC ( the "Banker") as compensation in connection with the closing of the Private Placement, pursuant to an Engagement Letter, dated December 31, 2024, at a cost basis per share of $0.335.</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June 30, 2025, we issued 1,008,731 shares of common stock to employees, directors, consultants and investors in settlement of liabilities. The shares were valued at $0.50 per share. </w:t>
      </w:r>
    </w:p>
    <w:p>
      <w:pPr>
        <w:pStyle w:val="TextBody"/>
        <w:bidi w:val="0"/>
        <w:spacing w:before="0" w:after="0"/>
        <w:jc w:val="left"/>
        <w:rPr/>
      </w:pPr>
      <w:r>
        <w:rPr/>
      </w:r>
    </w:p>
    <w:p>
      <w:pPr>
        <w:pStyle w:val="TextBody"/>
        <w:bidi w:val="0"/>
        <w:spacing w:lineRule="auto" w:line="26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On September 17, 2025, we issued 3,909,549 shares of the Company’s Common Stock to Fifth Era LLC ( the "Consultant"), at a cost basis per share of $0.335, pursuant to a Business Consulting Service Agreement, dated January 9,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Transition Period from October 1, 2025 through December 31, 2025</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Transition Period ended December 31, 2025, we did not issue any securities in transactions that were not registered under the Securities Act of 1933.</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Three Months Ended March 31,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did not issue any securities in transactions that were not registered under the Securities Act of 1933.</w:t>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16.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4"/>
        <w:gridCol w:w="293"/>
        <w:gridCol w:w="296"/>
        <w:gridCol w:w="2714"/>
        <w:gridCol w:w="2714"/>
        <w:gridCol w:w="3854"/>
      </w:tblGrid>
      <w:tr>
        <w:trPr/>
        <w:tc>
          <w:tcPr>
            <w:tcW w:w="33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92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w:t>
            </w:r>
          </w:p>
        </w:tc>
        <w:tc>
          <w:tcPr>
            <w:tcW w:w="9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hyperlink r:id="rId26">
              <w:r>
                <w:rPr>
                  <w:rStyle w:val="InternetLink"/>
                  <w:rFonts w:ascii="Times New Roman;serif" w:hAnsi="Times New Roman;serif"/>
                  <w:b w:val="false"/>
                  <w:color w:val="0000FF"/>
                  <w:sz w:val="20"/>
                  <w:u w:val="single"/>
                </w:rPr>
                <w:t>Restated Articles of Incorporation, dated August 11, 2023 (incorporated by reference to the Company’s Current Report on Form 8-K, filed August 14, 2023)</w:t>
              </w:r>
            </w:hyperlink>
            <w:hyperlink r:id="rId27">
              <w:r>
                <w:rPr>
                  <w:rStyle w:val="InternetLink"/>
                  <w:rFonts w:ascii="Times New Roman;serif" w:hAnsi="Times New Roman;serif"/>
                  <w:b/>
                  <w:color w:val="0000FF"/>
                  <w:sz w:val="20"/>
                  <w:u w:val="single"/>
                </w:rPr>
                <w:t>.</w:t>
              </w:r>
            </w:hyperlink>
          </w:p>
        </w:tc>
      </w:tr>
      <w:tr>
        <w:trPr/>
        <w:tc>
          <w:tcPr>
            <w:tcW w:w="9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3.2</w:t>
            </w:r>
          </w:p>
        </w:tc>
        <w:tc>
          <w:tcPr>
            <w:tcW w:w="928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28">
              <w:r>
                <w:rPr>
                  <w:rStyle w:val="InternetLink"/>
                  <w:rFonts w:ascii="Times New Roman;serif" w:hAnsi="Times New Roman;serif"/>
                  <w:b w:val="false"/>
                  <w:color w:val="0000FF"/>
                  <w:sz w:val="20"/>
                  <w:u w:val="single"/>
                </w:rPr>
                <w:t>Certificate of Amendment to Articles of Incorporation, dated July 31, 2025 (incorporated by reference to the Company’s Current Report on Form 8-K, filed August 1, 2025).</w:t>
              </w:r>
            </w:hyperlink>
          </w:p>
        </w:tc>
      </w:tr>
      <w:tr>
        <w:trPr/>
        <w:tc>
          <w:tcPr>
            <w:tcW w:w="92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3.3</w:t>
            </w:r>
          </w:p>
        </w:tc>
        <w:tc>
          <w:tcPr>
            <w:tcW w:w="928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29">
              <w:r>
                <w:rPr>
                  <w:rStyle w:val="InternetLink"/>
                  <w:rFonts w:ascii="Times New Roman;serif" w:hAnsi="Times New Roman;serif"/>
                  <w:b w:val="false"/>
                  <w:color w:val="0000FF"/>
                  <w:sz w:val="20"/>
                  <w:u w:val="single"/>
                </w:rPr>
                <w:t>Certificate of Amendment of Articles of Incorporation, dated August 6, 2025 (incorporated by reference to the Company’s Current Report on Form 8-K, filed August 7, 2025).</w:t>
              </w:r>
            </w:hyperlink>
          </w:p>
        </w:tc>
      </w:tr>
      <w:tr>
        <w:trPr/>
        <w:tc>
          <w:tcPr>
            <w:tcW w:w="9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3.4</w:t>
            </w:r>
          </w:p>
        </w:tc>
        <w:tc>
          <w:tcPr>
            <w:tcW w:w="928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0">
              <w:r>
                <w:rPr>
                  <w:rStyle w:val="InternetLink"/>
                  <w:rFonts w:ascii="Times New Roman;serif" w:hAnsi="Times New Roman;serif"/>
                  <w:b w:val="false"/>
                  <w:color w:val="0000FF"/>
                  <w:sz w:val="20"/>
                  <w:u w:val="single"/>
                </w:rPr>
                <w:t>Amended and Restated Series C Certificate of Designation, dated August 11, 2023 (incorporated by reference to the Company’s Current Report on Form 8-K filed August 14, 2023)</w:t>
              </w:r>
            </w:hyperlink>
            <w:hyperlink r:id="rId31">
              <w:r>
                <w:rPr>
                  <w:rStyle w:val="InternetLink"/>
                  <w:rFonts w:ascii="Times New Roman;serif" w:hAnsi="Times New Roman;serif"/>
                  <w:b/>
                  <w:color w:val="0000FF"/>
                  <w:sz w:val="20"/>
                  <w:u w:val="single"/>
                </w:rPr>
                <w:t>.</w:t>
              </w:r>
            </w:hyperlink>
          </w:p>
        </w:tc>
      </w:tr>
      <w:tr>
        <w:trPr/>
        <w:tc>
          <w:tcPr>
            <w:tcW w:w="92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3.5</w:t>
            </w:r>
          </w:p>
        </w:tc>
        <w:tc>
          <w:tcPr>
            <w:tcW w:w="928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2">
              <w:r>
                <w:rPr>
                  <w:rStyle w:val="InternetLink"/>
                  <w:rFonts w:ascii="Times New Roman;serif" w:hAnsi="Times New Roman;serif"/>
                  <w:b w:val="false"/>
                  <w:color w:val="0000FF"/>
                  <w:sz w:val="20"/>
                  <w:u w:val="single"/>
                </w:rPr>
                <w:t>Third Amended and Restated Series D Certificate of Designation, dated August 11, 2023 (incorporated by reference to the Company’s Current Report on Form 8-K filed August 14, 2023)</w:t>
              </w:r>
            </w:hyperlink>
            <w:hyperlink r:id="rId33">
              <w:r>
                <w:rPr>
                  <w:rStyle w:val="InternetLink"/>
                  <w:rFonts w:ascii="Times New Roman;serif" w:hAnsi="Times New Roman;serif"/>
                  <w:b/>
                  <w:color w:val="0000FF"/>
                  <w:sz w:val="20"/>
                  <w:u w:val="single"/>
                </w:rPr>
                <w:t>.</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0"/>
        <w:gridCol w:w="185"/>
        <w:gridCol w:w="191"/>
        <w:gridCol w:w="2870"/>
        <w:gridCol w:w="2795"/>
        <w:gridCol w:w="3954"/>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3.6</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4">
              <w:r>
                <w:rPr>
                  <w:rStyle w:val="InternetLink"/>
                  <w:rFonts w:ascii="Times New Roman;serif" w:hAnsi="Times New Roman;serif"/>
                  <w:b w:val="false"/>
                  <w:color w:val="0000FF"/>
                  <w:sz w:val="20"/>
                  <w:u w:val="single"/>
                </w:rPr>
                <w:t>Series D Certificate of Correction of Know Labs, Inc., dated August 11, 2023 (incorporated by reference to the Company’s Current Report on Form 8-K filed August 14, 2023)</w:t>
              </w:r>
            </w:hyperlink>
            <w:hyperlink r:id="rId35">
              <w:r>
                <w:rPr>
                  <w:rStyle w:val="InternetLink"/>
                  <w:rFonts w:ascii="Times New Roman;serif" w:hAnsi="Times New Roman;serif"/>
                  <w:b/>
                  <w:color w:val="0000FF"/>
                  <w:sz w:val="20"/>
                  <w:u w:val="single"/>
                </w:rPr>
                <w:t>.</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3.7</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6">
              <w:r>
                <w:rPr>
                  <w:rStyle w:val="InternetLink"/>
                  <w:rFonts w:ascii="Times New Roman;serif" w:hAnsi="Times New Roman;serif"/>
                  <w:b w:val="false"/>
                  <w:color w:val="0000FF"/>
                  <w:sz w:val="20"/>
                  <w:u w:val="single"/>
                </w:rPr>
                <w:t>Series C Certificate of Correction of Know Labs, Inc., dated August 11, 2023 (incorporated by reference to the Company’s Current Report on Form 8-K filed August 14, 2023).</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3.8</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7">
              <w:r>
                <w:rPr>
                  <w:rStyle w:val="InternetLink"/>
                  <w:rFonts w:ascii="Times New Roman;serif" w:hAnsi="Times New Roman;serif"/>
                  <w:b w:val="false"/>
                  <w:color w:val="0000FF"/>
                  <w:sz w:val="20"/>
                  <w:u w:val="single"/>
                </w:rPr>
                <w:t>Certificate of Withdrawal of Series F Preferred Stock, dated August 10, 2023 (incorporated by reference to the Company’s Current Report on Form 8-K filed August 14, 2023)</w:t>
              </w:r>
            </w:hyperlink>
            <w:hyperlink r:id="rId38">
              <w:r>
                <w:rPr>
                  <w:rStyle w:val="InternetLink"/>
                  <w:rFonts w:ascii="Times New Roman;serif" w:hAnsi="Times New Roman;serif"/>
                  <w:b/>
                  <w:color w:val="0000FF"/>
                  <w:sz w:val="20"/>
                  <w:u w:val="single"/>
                </w:rPr>
                <w:t>.</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3.9</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9">
              <w:r>
                <w:rPr>
                  <w:rStyle w:val="InternetLink"/>
                  <w:rFonts w:ascii="Times New Roman;serif" w:hAnsi="Times New Roman;serif"/>
                  <w:b w:val="false"/>
                  <w:color w:val="0000FF"/>
                  <w:sz w:val="20"/>
                  <w:u w:val="single"/>
                </w:rPr>
                <w:t>Certificate of Designation of Series F Preferred Stock (incorporated by reference to the Company’s Current Report on Form 8-K, filed August 3, 2018)</w:t>
              </w:r>
            </w:hyperlink>
            <w:hyperlink r:id="rId40">
              <w:r>
                <w:rPr>
                  <w:rStyle w:val="InternetLink"/>
                  <w:rFonts w:ascii="Times New Roman;serif" w:hAnsi="Times New Roman;serif"/>
                  <w:b/>
                  <w:color w:val="0000FF"/>
                  <w:sz w:val="20"/>
                  <w:u w:val="single"/>
                </w:rPr>
                <w:t>.</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3.10</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1">
              <w:r>
                <w:rPr>
                  <w:rStyle w:val="InternetLink"/>
                  <w:rFonts w:ascii="Times New Roman;serif" w:hAnsi="Times New Roman;serif"/>
                  <w:b w:val="false"/>
                  <w:color w:val="0000FF"/>
                  <w:sz w:val="20"/>
                  <w:u w:val="single"/>
                </w:rPr>
                <w:t>Certificate of Amendment to Articles of Incorporation, dated October 29, 2024 (incorporated by reference to the Company’s Current Report on Form 8-K filed, filed October 30, 2024).</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3.11</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2">
              <w:r>
                <w:rPr>
                  <w:rStyle w:val="InternetLink"/>
                  <w:rFonts w:ascii="Times New Roman;serif" w:hAnsi="Times New Roman;serif"/>
                  <w:b w:val="false"/>
                  <w:color w:val="0000FF"/>
                  <w:sz w:val="20"/>
                  <w:u w:val="single"/>
                </w:rPr>
                <w:t>Certificate, Amendment or Withdrawal of Designation, relating to the Series C Preferred Stock, filed with the Secretary of State of Nevada on December 11, 2025 (incorporated by reference to the Company’s Form 8-K, filed December 17, 2025).</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3.12</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3">
              <w:r>
                <w:rPr>
                  <w:rStyle w:val="InternetLink"/>
                  <w:rFonts w:ascii="Times New Roman;serif" w:hAnsi="Times New Roman;serif"/>
                  <w:b w:val="false"/>
                  <w:color w:val="0000FF"/>
                  <w:sz w:val="20"/>
                  <w:u w:val="single"/>
                </w:rPr>
                <w:t>Certificate, Amendment or Withdrawal of Designation, relating to the Series D Preferred Stock, filed with the Secretary of State of Nevada on December 11, 2025 (incorporated by reference to the Company’s Form 8-K, filed December 17, 2025).</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3.13</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4">
              <w:r>
                <w:rPr>
                  <w:rStyle w:val="InternetLink"/>
                  <w:rFonts w:ascii="Times New Roman;serif" w:hAnsi="Times New Roman;serif"/>
                  <w:b w:val="false"/>
                  <w:color w:val="0000FF"/>
                  <w:sz w:val="20"/>
                  <w:u w:val="single"/>
                </w:rPr>
                <w:t>Certificate, Amendment or Withdrawal of Designation, relating to the Series H Preferred Stock, filed with the Secretary of State of Nevada on December 11, 2025 (incorporated by reference to the Company’s Form 8-K, filed December 17, 2025).</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3.14</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Second Amended and Restated Bylaws, dated October 15, 2021 (incorporated by reference to the Company’s Current Report on Form 8-K, filed December 7, 2021).</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3.15</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6">
              <w:r>
                <w:rPr>
                  <w:rStyle w:val="InternetLink"/>
                  <w:rFonts w:ascii="Times New Roman;serif" w:hAnsi="Times New Roman;serif"/>
                  <w:b w:val="false"/>
                  <w:color w:val="0000FF"/>
                  <w:sz w:val="20"/>
                  <w:u w:val="single"/>
                </w:rPr>
                <w:t>Amendment to the Second Amended and Restated Bylaws, dated December 15, 2025 (incorporated by reference to the Company’s Annual Report on Form 10-K filed on December 19, 2025).</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4.1†</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7">
              <w:r>
                <w:rPr>
                  <w:rStyle w:val="InternetLink"/>
                  <w:rFonts w:ascii="Times New Roman;serif" w:hAnsi="Times New Roman;serif"/>
                  <w:b w:val="false"/>
                  <w:color w:val="0000FF"/>
                  <w:sz w:val="20"/>
                  <w:u w:val="single"/>
                </w:rPr>
                <w:t>Amended and Restated USBC, Inc. 2021 Equity Incentive Plan (incorporated by reference to the Company’s Form 8-K, filed October 3, 2025)</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4.2</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8">
              <w:r>
                <w:rPr>
                  <w:rStyle w:val="InternetLink"/>
                  <w:rFonts w:ascii="Times New Roman;serif" w:hAnsi="Times New Roman;serif"/>
                  <w:b w:val="false"/>
                  <w:color w:val="0000FF"/>
                  <w:sz w:val="20"/>
                  <w:u w:val="single"/>
                </w:rPr>
                <w:t>Description of Securities Registered Pursuant to Section 12 of the Securities Exchange Act of 1934 (incorporated by reference to the Company’s Annual Report on Form 10-K, filed December 19, 2025)</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5.1*</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usbcinc-ex51opinionsx1501.htm">
              <w:r>
                <w:rPr>
                  <w:rStyle w:val="InternetLink"/>
                  <w:rFonts w:ascii="Times New Roman;serif" w:hAnsi="Times New Roman;serif"/>
                  <w:b w:val="false"/>
                  <w:color w:val="0000FF"/>
                  <w:sz w:val="20"/>
                  <w:u w:val="single"/>
                </w:rPr>
                <w:t>Opinion of Holland &amp; Hart LLP.</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9">
              <w:r>
                <w:rPr>
                  <w:rStyle w:val="InternetLink"/>
                  <w:rFonts w:ascii="Times New Roman;serif" w:hAnsi="Times New Roman;serif"/>
                  <w:b w:val="false"/>
                  <w:color w:val="0000FF"/>
                  <w:sz w:val="20"/>
                  <w:u w:val="single"/>
                </w:rPr>
                <w:t>Note and Account Payable Conversion Agreement and related notes and warrants dated January 31, 2018 by and between Visualant, Incorporated and J3E2A2Z LP (incorporated by reference to the Company’s Current Report on Form 8-K, filed March 21, 2018)</w:t>
              </w:r>
            </w:hyperlink>
            <w:hyperlink r:id="rId50">
              <w:r>
                <w:rPr>
                  <w:rStyle w:val="InternetLink"/>
                  <w:rFonts w:ascii="Times New Roman;serif" w:hAnsi="Times New Roman;serif"/>
                  <w:b/>
                  <w:color w:val="0000FF"/>
                  <w:sz w:val="20"/>
                  <w:u w:val="single"/>
                </w:rPr>
                <w:t>.</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EE"/>
                <w:sz w:val="20"/>
              </w:rPr>
            </w:pPr>
            <w:r>
              <w:rPr>
                <w:rFonts w:ascii="Times New Roman;serif" w:hAnsi="Times New Roman;serif"/>
                <w:b w:val="false"/>
                <w:color w:val="0000EE"/>
                <w:sz w:val="20"/>
              </w:rPr>
              <w:t>10.2†</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1">
              <w:r>
                <w:rPr>
                  <w:rStyle w:val="InternetLink"/>
                  <w:rFonts w:ascii="Times New Roman;serif" w:hAnsi="Times New Roman;serif"/>
                  <w:b w:val="false"/>
                  <w:color w:val="0000FF"/>
                  <w:sz w:val="20"/>
                  <w:u w:val="single"/>
                </w:rPr>
                <w:t>Amended Employment Agreement dated April 10, 2018 by and between Visualant, Incorporated and Ronald P. Erickson (incorporated by reference to the Company’s Annual Report on Form 10-K, filed December 21, 2018)</w:t>
              </w:r>
            </w:hyperlink>
            <w:hyperlink r:id="rId52">
              <w:r>
                <w:rPr>
                  <w:rStyle w:val="InternetLink"/>
                  <w:rFonts w:ascii="Times New Roman;serif" w:hAnsi="Times New Roman;serif"/>
                  <w:b/>
                  <w:color w:val="0000FF"/>
                  <w:sz w:val="20"/>
                  <w:u w:val="single"/>
                </w:rPr>
                <w:t>.</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EE"/>
                <w:sz w:val="20"/>
              </w:rPr>
            </w:pPr>
            <w:r>
              <w:rPr>
                <w:rFonts w:ascii="Times New Roman;serif" w:hAnsi="Times New Roman;serif"/>
                <w:b w:val="false"/>
                <w:color w:val="0000EE"/>
                <w:sz w:val="20"/>
              </w:rPr>
              <w:t>10.3†</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Employment Agreement dated May 13, 2022 by and between Know Labs, Inc. and Peter Conley (incorporated by reference to the Company’s Quarterly Report on Form 10-Q, filed August 12, 2022).</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10.4</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4">
              <w:r>
                <w:rPr>
                  <w:rStyle w:val="InternetLink"/>
                  <w:rFonts w:ascii="Times New Roman;serif" w:hAnsi="Times New Roman;serif"/>
                  <w:b w:val="false"/>
                  <w:color w:val="0000FF"/>
                  <w:sz w:val="20"/>
                  <w:u w:val="single"/>
                </w:rPr>
                <w:t>Common Stock Purchase Warrant issued by Know Labs, Inc. to Boustead Securities, LLC on September 20, 2022 (incorporated by reference to the Company’s Current Report on Form 8-K, filed September 21, 2022)</w:t>
              </w:r>
            </w:hyperlink>
            <w:hyperlink r:id="rId55">
              <w:r>
                <w:rPr>
                  <w:rStyle w:val="InternetLink"/>
                  <w:rFonts w:ascii="Times New Roman;serif" w:hAnsi="Times New Roman;serif"/>
                  <w:b/>
                  <w:color w:val="0000FF"/>
                  <w:sz w:val="20"/>
                  <w:u w:val="single"/>
                </w:rPr>
                <w:t>.</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10.5</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56">
              <w:r>
                <w:rPr>
                  <w:rStyle w:val="InternetLink"/>
                  <w:rFonts w:ascii="Times New Roman;serif" w:hAnsi="Times New Roman;serif"/>
                  <w:b w:val="false"/>
                  <w:color w:val="0000FF"/>
                  <w:sz w:val="20"/>
                  <w:u w:val="single"/>
                </w:rPr>
                <w:t>Extension of Warrant Agreement dated December 7, 2022 by and between Know Labs, Inc. and Clayton A. Struve (incorporated by reference to the Company’s Current Report on Form 8-K, filed December 9, 2022)</w:t>
              </w:r>
            </w:hyperlink>
            <w:hyperlink r:id="rId57">
              <w:r>
                <w:rPr>
                  <w:rStyle w:val="InternetLink"/>
                  <w:rFonts w:ascii="Times New Roman;serif" w:hAnsi="Times New Roman;serif"/>
                  <w:b/>
                  <w:color w:val="0000FF"/>
                  <w:sz w:val="20"/>
                  <w:u w:val="single"/>
                </w:rPr>
                <w:t>.</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10.6</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8">
              <w:r>
                <w:rPr>
                  <w:rStyle w:val="InternetLink"/>
                  <w:rFonts w:ascii="Times New Roman;serif" w:hAnsi="Times New Roman;serif"/>
                  <w:b w:val="false"/>
                  <w:color w:val="0000FF"/>
                  <w:sz w:val="20"/>
                  <w:u w:val="single"/>
                </w:rPr>
                <w:t>Extension of Warrant Agreement dated January 19, 2023 by and between Know Labs, Inc. and Ronald P. Erickson (incorporated by reference to the Company’s Current Report on Form 8-K, filed January 23, 2023).</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10.7</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59">
              <w:r>
                <w:rPr>
                  <w:rStyle w:val="InternetLink"/>
                  <w:rFonts w:ascii="Times New Roman;serif" w:hAnsi="Times New Roman;serif"/>
                  <w:b w:val="false"/>
                  <w:color w:val="0000EE"/>
                  <w:sz w:val="20"/>
                </w:rPr>
                <w:t>Common Stock Purchase Warrant issued by Know Labs, Inc. to Boustead Securities, LLC on September 29, 2023 (incorporated by reference to the Company’s Current Report on Form 8-K, filed September 29, 2023).</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10.8</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60">
              <w:r>
                <w:rPr>
                  <w:rStyle w:val="InternetLink"/>
                  <w:rFonts w:ascii="Times New Roman;serif" w:hAnsi="Times New Roman;serif"/>
                  <w:b w:val="false"/>
                  <w:color w:val="0000FF"/>
                  <w:sz w:val="20"/>
                  <w:u w:val="single"/>
                </w:rPr>
                <w:t>Common Stock Purchase Warrant issued by Know Labs, Inc. to The Benchmark Company, LLC on September 29, 2023 (incorporated by reference to the Company’s Current Report on Form 8-K, filed September 29, 2023).</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10.9</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61">
              <w:r>
                <w:rPr>
                  <w:rStyle w:val="InternetLink"/>
                  <w:rFonts w:ascii="Times New Roman;serif" w:hAnsi="Times New Roman;serif"/>
                  <w:b w:val="false"/>
                  <w:color w:val="0000FF"/>
                  <w:sz w:val="20"/>
                  <w:u w:val="single"/>
                </w:rPr>
                <w:t>Form of Warrant to Purchase Common Stock issued by Know Labs, Inc. to Lind Global II, LP on February 27, 2024 (incorporated by reference to the Company’s Current Report on Form 8-K, filed February 29, 2024).</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10.10</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62">
              <w:r>
                <w:rPr>
                  <w:rStyle w:val="InternetLink"/>
                  <w:rFonts w:ascii="Times New Roman;serif" w:hAnsi="Times New Roman;serif"/>
                  <w:b w:val="false"/>
                  <w:color w:val="0000FF"/>
                  <w:sz w:val="20"/>
                  <w:u w:val="single"/>
                </w:rPr>
                <w:t>Form of Warrant (incorporated by reference to the Company’s Current Report on Form 8-K, filed August 13, 2024).</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10.11</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63">
              <w:r>
                <w:rPr>
                  <w:rStyle w:val="InternetLink"/>
                  <w:rFonts w:ascii="Times New Roman;serif" w:hAnsi="Times New Roman;serif"/>
                  <w:b w:val="false"/>
                  <w:color w:val="0000FF"/>
                  <w:sz w:val="20"/>
                  <w:u w:val="single"/>
                </w:rPr>
                <w:t>Underwriting Agreement, dated September 26, 2023, between Know Labs, Inc., Boustead Securities, LLC and The Benchmark Company, LLC (incorporated by reference to the Company’s Current Report on Form 8-K, filed September 29, 2023).</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10.12</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64">
              <w:r>
                <w:rPr>
                  <w:rStyle w:val="InternetLink"/>
                  <w:rFonts w:ascii="Times New Roman;serif" w:hAnsi="Times New Roman;serif"/>
                  <w:b w:val="false"/>
                  <w:color w:val="0000FF"/>
                  <w:sz w:val="20"/>
                  <w:u w:val="single"/>
                </w:rPr>
                <w:t>Underwriting Agreement, dated August 7, 2024, between the Company, Boustead Securities, LLC and The Benchmark Company, LLC, as representatives of the underwriters named therein (incorporated by reference to the Company’s Current Report on Form 8-K, filed August 13, 2024).</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10.13</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65">
              <w:r>
                <w:rPr>
                  <w:rStyle w:val="InternetLink"/>
                  <w:rFonts w:ascii="Times New Roman;serif" w:hAnsi="Times New Roman;serif"/>
                  <w:b w:val="false"/>
                  <w:color w:val="0000FF"/>
                  <w:sz w:val="20"/>
                  <w:u w:val="single"/>
                </w:rPr>
                <w:t>Unit Purchase Option, dated August 9, 2024, between the Company and Sutter Securities Group, Inc. (incorporated by reference to the Company’s Current Report on Form 8-K, filed August 13, 2024).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7"/>
        <w:gridCol w:w="199"/>
        <w:gridCol w:w="201"/>
        <w:gridCol w:w="2898"/>
        <w:gridCol w:w="2765"/>
        <w:gridCol w:w="3915"/>
      </w:tblGrid>
      <w:tr>
        <w:trPr/>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3915" w:type="dxa"/>
            <w:tcBorders/>
            <w:vAlign w:val="center"/>
          </w:tcPr>
          <w:p>
            <w:pPr>
              <w:pStyle w:val="TableContents"/>
              <w:bidi w:val="0"/>
              <w:spacing w:before="0" w:after="283"/>
              <w:jc w:val="left"/>
              <w:rPr>
                <w:sz w:val="4"/>
                <w:szCs w:val="4"/>
              </w:rPr>
            </w:pPr>
            <w:r>
              <w:rPr>
                <w:sz w:val="4"/>
                <w:szCs w:val="4"/>
              </w:rPr>
            </w:r>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10.14</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66">
              <w:r>
                <w:rPr>
                  <w:rStyle w:val="InternetLink"/>
                  <w:rFonts w:ascii="Times New Roman;serif" w:hAnsi="Times New Roman;serif"/>
                  <w:b w:val="false"/>
                  <w:color w:val="0000FF"/>
                  <w:sz w:val="20"/>
                  <w:u w:val="single"/>
                </w:rPr>
                <w:t>Form of Warrant (incorporated by reference to the Company’s Current Report on Form 8-K, filed August 16, 2024).</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10.15</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67">
              <w:r>
                <w:rPr>
                  <w:rStyle w:val="InternetLink"/>
                  <w:rFonts w:ascii="Times New Roman;serif" w:hAnsi="Times New Roman;serif"/>
                  <w:b w:val="false"/>
                  <w:color w:val="0000FF"/>
                  <w:sz w:val="20"/>
                  <w:u w:val="single"/>
                </w:rPr>
                <w:t>Warrant Agency Agreement, August 15, 2024, between the Company and Equinit</w:t>
              </w:r>
            </w:hyperlink>
            <w:r>
              <w:rPr>
                <w:rFonts w:ascii="Times New Roman;serif" w:hAnsi="Times New Roman;serif"/>
                <w:b w:val="false"/>
                <w:color w:val="000000"/>
                <w:sz w:val="20"/>
              </w:rPr>
              <w:t>i</w:t>
            </w:r>
            <w:hyperlink r:id="rId68">
              <w:r>
                <w:rPr>
                  <w:rStyle w:val="InternetLink"/>
                  <w:color w:val="0000FF"/>
                  <w:u w:val="single"/>
                </w:rPr>
                <w:t xml:space="preserve"> </w:t>
              </w:r>
            </w:hyperlink>
            <w:hyperlink r:id="rId69">
              <w:r>
                <w:rPr>
                  <w:rStyle w:val="InternetLink"/>
                  <w:rFonts w:ascii="Times New Roman;serif" w:hAnsi="Times New Roman;serif"/>
                  <w:b w:val="false"/>
                  <w:color w:val="0000FF"/>
                  <w:sz w:val="20"/>
                  <w:u w:val="single"/>
                </w:rPr>
                <w:t>Trust Company, LLC (incorporated by reference to the Company’s Current Report on Form 8-K, filed August 16, 2024).</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10.16</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70">
              <w:r>
                <w:rPr>
                  <w:rStyle w:val="InternetLink"/>
                  <w:rFonts w:ascii="Times New Roman;serif" w:hAnsi="Times New Roman;serif"/>
                  <w:b w:val="false"/>
                  <w:color w:val="0000FF"/>
                  <w:sz w:val="20"/>
                  <w:u w:val="single"/>
                </w:rPr>
                <w:t>Form of Warrant (incorporated by reference to the Company’s Current Report on Form 8-K, filed December 17, 2024)</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10.17</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71">
              <w:r>
                <w:rPr>
                  <w:rStyle w:val="InternetLink"/>
                  <w:rFonts w:ascii="Times New Roman;serif" w:hAnsi="Times New Roman;serif"/>
                  <w:b w:val="false"/>
                  <w:color w:val="0000FF"/>
                  <w:sz w:val="20"/>
                  <w:u w:val="single"/>
                </w:rPr>
                <w:t>Warrant Agency Agreement, December 16, 2024, between the Company and Equinit</w:t>
              </w:r>
            </w:hyperlink>
            <w:r>
              <w:rPr>
                <w:rFonts w:ascii="Times New Roman;serif" w:hAnsi="Times New Roman;serif"/>
                <w:b w:val="false"/>
                <w:color w:val="000000"/>
                <w:sz w:val="20"/>
              </w:rPr>
              <w:t>i</w:t>
            </w:r>
            <w:hyperlink r:id="rId72">
              <w:r>
                <w:rPr>
                  <w:rStyle w:val="InternetLink"/>
                  <w:color w:val="0000FF"/>
                  <w:u w:val="single"/>
                </w:rPr>
                <w:t xml:space="preserve"> </w:t>
              </w:r>
            </w:hyperlink>
            <w:hyperlink r:id="rId73">
              <w:r>
                <w:rPr>
                  <w:rStyle w:val="InternetLink"/>
                  <w:rFonts w:ascii="Times New Roman;serif" w:hAnsi="Times New Roman;serif"/>
                  <w:b w:val="false"/>
                  <w:color w:val="0000FF"/>
                  <w:sz w:val="20"/>
                  <w:u w:val="single"/>
                </w:rPr>
                <w:t>Trust Company, LLC (incorporated by reference to the Company’s Current Report on Form 8-K, filed December 17, 2024)</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10.18</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74">
              <w:r>
                <w:rPr>
                  <w:rStyle w:val="InternetLink"/>
                  <w:rFonts w:ascii="Times New Roman;serif" w:hAnsi="Times New Roman;serif"/>
                  <w:b w:val="false"/>
                  <w:color w:val="0000FF"/>
                  <w:sz w:val="20"/>
                  <w:u w:val="single"/>
                </w:rPr>
                <w:t>Extension of Warrant Agreement dated December 17, 2024 by and between Know Labs, Inc. and Clayton A. Struve (incorporated by reference to the Company’s Current Report on Form 8-K, filed on December 18, 2024).</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10.19</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75">
              <w:r>
                <w:rPr>
                  <w:rStyle w:val="InternetLink"/>
                  <w:rFonts w:ascii="Times New Roman;serif" w:hAnsi="Times New Roman;serif"/>
                  <w:b w:val="false"/>
                  <w:color w:val="0000FF"/>
                  <w:sz w:val="20"/>
                  <w:u w:val="single"/>
                </w:rPr>
                <w:t>Form of Subscription Agreement (incorporated by reference to the Company’s Current Report on Form 8-K, filed August 16, 2024).</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10.20</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76">
              <w:r>
                <w:rPr>
                  <w:rStyle w:val="InternetLink"/>
                  <w:rFonts w:ascii="Times New Roman;serif" w:hAnsi="Times New Roman;serif"/>
                  <w:b w:val="false"/>
                  <w:color w:val="0000FF"/>
                  <w:sz w:val="20"/>
                  <w:u w:val="single"/>
                </w:rPr>
                <w:t>Capital on Demand Sales Agreement, dated December 31, 2024, by and between Know Labs, Inc. and JonesTrading Institutional Services LLC (incorporated by reference to the Company's Current Report on Form 8-K, filed January 2,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10.21</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77">
              <w:r>
                <w:rPr>
                  <w:rStyle w:val="InternetLink"/>
                  <w:rFonts w:ascii="Times New Roman;serif" w:hAnsi="Times New Roman;serif"/>
                  <w:b w:val="false"/>
                  <w:color w:val="0000FF"/>
                  <w:sz w:val="20"/>
                  <w:u w:val="single"/>
                </w:rPr>
                <w:t>Promissory Note, dated February 28, 2025, issued by the Company to 1800 Diagonal Lending LLC (incorporated by reference to the Company’s Annual Report on Form 10-K, filed on December 19,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10.22</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78">
              <w:r>
                <w:rPr>
                  <w:rStyle w:val="InternetLink"/>
                  <w:rFonts w:ascii="Times New Roman;serif" w:hAnsi="Times New Roman;serif"/>
                  <w:b w:val="false"/>
                  <w:color w:val="0000FF"/>
                  <w:sz w:val="20"/>
                  <w:u w:val="single"/>
                </w:rPr>
                <w:t>Promissory Note Conversion Agreement between Know Labs, Inc. and J3E2A2Z LP, dated June 2, 2025 (incorporated by reference to the Company’s Current Report on Form 8-K, filed June 4,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10.23</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79">
              <w:r>
                <w:rPr>
                  <w:rStyle w:val="InternetLink"/>
                  <w:rFonts w:ascii="Times New Roman;serif" w:hAnsi="Times New Roman;serif"/>
                  <w:b w:val="false"/>
                  <w:color w:val="0000FF"/>
                  <w:sz w:val="20"/>
                  <w:u w:val="single"/>
                </w:rPr>
                <w:t>Form of Subscription Agreement (incorporated by reference to the Company’s Current Report on Form 8-K, filed December 17, 2024)</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10.24</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80">
              <w:r>
                <w:rPr>
                  <w:rStyle w:val="InternetLink"/>
                  <w:rFonts w:ascii="Times New Roman;serif" w:hAnsi="Times New Roman;serif"/>
                  <w:b w:val="false"/>
                  <w:color w:val="0000FF"/>
                  <w:sz w:val="20"/>
                  <w:u w:val="single"/>
                </w:rPr>
                <w:t>Securities Purchase Agreement, dated June 5, 2025, by and between the Company and Goldeneye 1995, LLC (incorporated by reference to the Company’s Current Report on Form 8-K, filed June 6,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10.25</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81">
              <w:r>
                <w:rPr>
                  <w:rStyle w:val="InternetLink"/>
                  <w:rFonts w:ascii="Times New Roman;serif" w:hAnsi="Times New Roman;serif"/>
                  <w:b w:val="false"/>
                  <w:color w:val="0000FF"/>
                  <w:sz w:val="20"/>
                  <w:u w:val="single"/>
                </w:rPr>
                <w:t>Form of Support Agreement, by and between the Company, Goldeneye 1995, LLC and certain stockholders (incorporated by reference to Company’s Current Report on Form 8-K, filed June 6,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10.26</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82">
              <w:r>
                <w:rPr>
                  <w:rStyle w:val="InternetLink"/>
                  <w:rFonts w:ascii="Times New Roman;serif" w:hAnsi="Times New Roman;serif"/>
                  <w:b w:val="false"/>
                  <w:color w:val="0000FF"/>
                  <w:sz w:val="20"/>
                  <w:u w:val="single"/>
                </w:rPr>
                <w:t>Registration Rights Agreement, dated September 19, 2025, by and among the Company, Goldeneye 1995, LLC, Cohen &amp; Company Securities, LLC and Fifth Era LLC (incorporated by reference to the Company’s Registration Statement on Form S-1, filed on September 19,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EE"/>
                <w:sz w:val="20"/>
              </w:rPr>
              <w:t>10.27</w:t>
            </w:r>
            <w:r>
              <w:rPr>
                <w:color w:val="0000FF"/>
                <w:u w:val="single"/>
              </w:rPr>
              <w:t>†</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83">
              <w:r>
                <w:rPr>
                  <w:rStyle w:val="InternetLink"/>
                  <w:rFonts w:ascii="Times New Roman;serif" w:hAnsi="Times New Roman;serif"/>
                  <w:b w:val="false"/>
                  <w:color w:val="0000FF"/>
                  <w:sz w:val="20"/>
                  <w:u w:val="single"/>
                </w:rPr>
                <w:t>Amendment No. 1 to the Amended Employment Agreement of Ronald Erickson (incorporated by reference to Company’s Current Report on Form 8-K, filed June 6,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10.28</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84">
              <w:r>
                <w:rPr>
                  <w:rStyle w:val="InternetLink"/>
                  <w:rFonts w:ascii="Times New Roman;serif" w:hAnsi="Times New Roman;serif"/>
                  <w:b w:val="false"/>
                  <w:color w:val="0000FF"/>
                  <w:sz w:val="20"/>
                  <w:u w:val="single"/>
                </w:rPr>
                <w:t>Asset Management Agreement, dated August 5, 2025, by and between the Company and Hyrcanian Asset Management, LLC (incorporated by reference to the Company’s Current Report on Form 8-K, filed August 7,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10.29†</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85">
              <w:r>
                <w:rPr>
                  <w:rStyle w:val="InternetLink"/>
                  <w:rFonts w:ascii="Times New Roman;serif" w:hAnsi="Times New Roman;serif"/>
                  <w:b w:val="false"/>
                  <w:color w:val="0000FF"/>
                  <w:sz w:val="20"/>
                  <w:u w:val="single"/>
                </w:rPr>
                <w:t>Employment Agreement, dated August 6, 2025, by and between the Company and Robert Gregory Kidd (incorporated by reference to the Company’s Current Report on Form 8-K, filed August 7,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10.30†</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86">
              <w:r>
                <w:rPr>
                  <w:rStyle w:val="InternetLink"/>
                  <w:rFonts w:ascii="Times New Roman;serif" w:hAnsi="Times New Roman;serif"/>
                  <w:b w:val="false"/>
                  <w:color w:val="0000FF"/>
                  <w:sz w:val="20"/>
                  <w:u w:val="single"/>
                </w:rPr>
                <w:t>Employment Agreement, dated August 6, 2025, by and between the Company and Kitty Payne (incorporated by reference to the Company’s Current Report on Form 8-K, filed August 7,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10.31</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87">
              <w:r>
                <w:rPr>
                  <w:rStyle w:val="InternetLink"/>
                  <w:rFonts w:ascii="Times New Roman;serif" w:hAnsi="Times New Roman;serif"/>
                  <w:b w:val="false"/>
                  <w:color w:val="0000FF"/>
                  <w:sz w:val="20"/>
                  <w:u w:val="single"/>
                </w:rPr>
                <w:t>Amendment No. 1 to the Employment Agreement of Peter Conley (incorporated by reference to Company’s Current Report on Form 8-K, filed June 6,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10.32</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88">
              <w:r>
                <w:rPr>
                  <w:rStyle w:val="InternetLink"/>
                  <w:rFonts w:ascii="Times New Roman;serif" w:hAnsi="Times New Roman;serif"/>
                  <w:b w:val="false"/>
                  <w:color w:val="0000FF"/>
                  <w:sz w:val="20"/>
                  <w:u w:val="single"/>
                </w:rPr>
                <w:t>Separation Agreement, dated August 6, 2025, by and between the Company and Peter J. Conley (incorporated by reference to the Company’s Current Report on Form 8-K, filed August 7,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10.33†</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89">
              <w:r>
                <w:rPr>
                  <w:rStyle w:val="InternetLink"/>
                  <w:rFonts w:ascii="Times New Roman;serif" w:hAnsi="Times New Roman;serif"/>
                  <w:b w:val="false"/>
                  <w:color w:val="0000FF"/>
                  <w:sz w:val="20"/>
                  <w:u w:val="single"/>
                </w:rPr>
                <w:t>Form of ISO Award Agreement (incorporated by reference to the Company’s Current Report on Form 8-K, filed August 7,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EE"/>
                <w:sz w:val="20"/>
              </w:rPr>
            </w:pPr>
            <w:r>
              <w:rPr>
                <w:rFonts w:ascii="Times New Roman;serif" w:hAnsi="Times New Roman;serif"/>
                <w:b w:val="false"/>
                <w:color w:val="0000EE"/>
                <w:sz w:val="20"/>
              </w:rPr>
              <w:t>10.34†</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90">
              <w:r>
                <w:rPr>
                  <w:rStyle w:val="InternetLink"/>
                  <w:rFonts w:ascii="Times New Roman;serif" w:hAnsi="Times New Roman;serif"/>
                  <w:b w:val="false"/>
                  <w:color w:val="0000FF"/>
                  <w:sz w:val="20"/>
                  <w:u w:val="single"/>
                </w:rPr>
                <w:t>Form of NQSO Award Agreement (incorporated by reference to the Company’s Current Report on Form 8-K, filed August 7,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EE"/>
                <w:sz w:val="20"/>
              </w:rPr>
            </w:pPr>
            <w:r>
              <w:rPr>
                <w:rFonts w:ascii="Times New Roman;serif" w:hAnsi="Times New Roman;serif"/>
                <w:b w:val="false"/>
                <w:color w:val="0000EE"/>
                <w:sz w:val="20"/>
              </w:rPr>
              <w:t>10.35†</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91">
              <w:r>
                <w:rPr>
                  <w:rStyle w:val="InternetLink"/>
                  <w:rFonts w:ascii="Times New Roman;serif" w:hAnsi="Times New Roman;serif"/>
                  <w:b w:val="false"/>
                  <w:color w:val="0000FF"/>
                  <w:sz w:val="20"/>
                  <w:u w:val="single"/>
                </w:rPr>
                <w:t>Form of Restricted Stock Award Agreement (incorporated by reference to the Company’s Current Report on Form 8-K, filed August 7,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10.36†</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92">
              <w:r>
                <w:rPr>
                  <w:rStyle w:val="InternetLink"/>
                  <w:rFonts w:ascii="Times New Roman;serif" w:hAnsi="Times New Roman;serif"/>
                  <w:b w:val="false"/>
                  <w:color w:val="0000FF"/>
                  <w:sz w:val="20"/>
                  <w:u w:val="single"/>
                </w:rPr>
                <w:t>Form of Indemnification Agreement (incorporated by reference to the Company’s Current Report on Form 8-K, filed August 15,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10.37</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93">
              <w:r>
                <w:rPr>
                  <w:rStyle w:val="InternetLink"/>
                  <w:rFonts w:ascii="Times New Roman;serif" w:hAnsi="Times New Roman;serif"/>
                  <w:b w:val="false"/>
                  <w:color w:val="0000FF"/>
                  <w:sz w:val="20"/>
                  <w:u w:val="single"/>
                </w:rPr>
                <w:t>Amendment No. 1 to Registration Rights Agreement, dated November 18, 2025, by and among the Company, Goldeneye 1995, LLC, Cohen &amp; Company Securities, LLC and Fifth Era LLC (incorporated by reference to the Company’s Annual Report on Form 10-K, filed December 19,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10.38</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94">
              <w:r>
                <w:rPr>
                  <w:rStyle w:val="InternetLink"/>
                  <w:rFonts w:ascii="Times New Roman;serif" w:hAnsi="Times New Roman;serif"/>
                  <w:b w:val="false"/>
                  <w:color w:val="0000FF"/>
                  <w:sz w:val="20"/>
                  <w:u w:val="single"/>
                </w:rPr>
                <w:t>Amended and Restated Digital Asset Management Agreement, dated December 12, 2025, by and between the Company and Hyrcanian Asset Management, LLC (incorporated by reference to the Company’s Annual Report on Form 10-K, filed December 19,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10.39</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95">
              <w:r>
                <w:rPr>
                  <w:rStyle w:val="InternetLink"/>
                  <w:rFonts w:ascii="Times New Roman;serif" w:hAnsi="Times New Roman;serif"/>
                  <w:b w:val="false"/>
                  <w:color w:val="0000FF"/>
                  <w:sz w:val="20"/>
                  <w:u w:val="single"/>
                </w:rPr>
                <w:t>Employment Agreement, dated August 6, 2025, by and between the Company and Kirk Chapman (incorporated by reference to the Company’s Current Report on Form 8-K, filed August 7,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1"/>
        <w:gridCol w:w="203"/>
        <w:gridCol w:w="205"/>
        <w:gridCol w:w="2821"/>
        <w:gridCol w:w="2788"/>
        <w:gridCol w:w="3957"/>
      </w:tblGrid>
      <w:tr>
        <w:trPr/>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57" w:type="dxa"/>
            <w:tcBorders/>
            <w:vAlign w:val="center"/>
          </w:tcPr>
          <w:p>
            <w:pPr>
              <w:pStyle w:val="TableContents"/>
              <w:bidi w:val="0"/>
              <w:spacing w:before="0" w:after="283"/>
              <w:jc w:val="left"/>
              <w:rPr>
                <w:sz w:val="4"/>
                <w:szCs w:val="4"/>
              </w:rPr>
            </w:pPr>
            <w:r>
              <w:rPr>
                <w:sz w:val="4"/>
                <w:szCs w:val="4"/>
              </w:rPr>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EE"/>
                <w:sz w:val="20"/>
              </w:rPr>
              <w:t>10.40</w:t>
            </w:r>
            <w:r>
              <w:rPr>
                <w:color w:val="0000FF"/>
              </w:rPr>
              <w:t>†</w:t>
            </w:r>
          </w:p>
        </w:tc>
        <w:tc>
          <w:tcPr>
            <w:tcW w:w="956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96">
              <w:r>
                <w:rPr>
                  <w:rStyle w:val="InternetLink"/>
                  <w:rFonts w:ascii="Times New Roman;serif" w:hAnsi="Times New Roman;serif"/>
                  <w:b w:val="false"/>
                  <w:color w:val="000080"/>
                  <w:sz w:val="20"/>
                  <w:u w:val="single"/>
                </w:rPr>
                <w:t>Separation and General Release Agreement, dated January 6, 2026, by and between the Company and Kirk Chapman.</w:t>
              </w:r>
            </w:hyperlink>
            <w:hyperlink r:id="rId97">
              <w:r>
                <w:rPr>
                  <w:rStyle w:val="InternetLink"/>
                  <w:rFonts w:ascii="Times New Roman;serif" w:hAnsi="Times New Roman;serif"/>
                  <w:b w:val="false"/>
                  <w:color w:val="000080"/>
                  <w:sz w:val="20"/>
                  <w:u w:val="single"/>
                </w:rPr>
                <w:t>(incorporated by reference to the Company’s Transition Report on Form 10-K, filed on March 25, 2026).</w:t>
              </w:r>
            </w:hyperlink>
          </w:p>
        </w:tc>
      </w:tr>
      <w:tr>
        <w:trPr/>
        <w:tc>
          <w:tcPr>
            <w:tcW w:w="6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98">
              <w:r>
                <w:rPr>
                  <w:rStyle w:val="InternetLink"/>
                  <w:rFonts w:ascii="Times New Roman;serif" w:hAnsi="Times New Roman;serif"/>
                  <w:b w:val="false"/>
                  <w:color w:val="0000EE"/>
                  <w:sz w:val="20"/>
                </w:rPr>
                <w:t>10.41</w:t>
              </w:r>
            </w:hyperlink>
          </w:p>
        </w:tc>
        <w:tc>
          <w:tcPr>
            <w:tcW w:w="956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99">
              <w:r>
                <w:rPr>
                  <w:rStyle w:val="InternetLink"/>
                  <w:rFonts w:ascii="Times New Roman;serif" w:hAnsi="Times New Roman;serif"/>
                  <w:b w:val="false"/>
                  <w:color w:val="0000FF"/>
                  <w:sz w:val="20"/>
                  <w:u w:val="single"/>
                </w:rPr>
                <w:t>Strategic Partnership Agreement, dated as of January 20, 2026, by and among the Company, Vast Bank and Uphold (incorporated by reference to Company’s Current Report on Form 8-K, filed January 26, 2026)</w:t>
              </w:r>
            </w:hyperlink>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10.42#</w:t>
            </w:r>
          </w:p>
        </w:tc>
        <w:tc>
          <w:tcPr>
            <w:tcW w:w="956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00">
              <w:r>
                <w:rPr>
                  <w:rStyle w:val="InternetLink"/>
                  <w:rFonts w:ascii="Times New Roman;serif" w:hAnsi="Times New Roman;serif"/>
                  <w:b w:val="false"/>
                  <w:color w:val="000080"/>
                  <w:sz w:val="20"/>
                  <w:u w:val="single"/>
                </w:rPr>
                <w:t>Master Loan Agreement, dated March 18, 2026, between USBC, Inc. and Payward Interactive, Inc.</w:t>
              </w:r>
            </w:hyperlink>
            <w:hyperlink r:id="rId101">
              <w:r>
                <w:rPr>
                  <w:rStyle w:val="InternetLink"/>
                  <w:rFonts w:ascii="Times New Roman;serif" w:hAnsi="Times New Roman;serif"/>
                  <w:b w:val="false"/>
                  <w:color w:val="000080"/>
                  <w:sz w:val="20"/>
                  <w:u w:val="single"/>
                </w:rPr>
                <w:t>(incorporated by reference to the Company’s Transition Report on Form 10-K, filed on March 25, 2026).</w:t>
              </w:r>
            </w:hyperlink>
          </w:p>
        </w:tc>
      </w:tr>
      <w:tr>
        <w:trPr/>
        <w:tc>
          <w:tcPr>
            <w:tcW w:w="6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10.43</w:t>
            </w:r>
          </w:p>
        </w:tc>
        <w:tc>
          <w:tcPr>
            <w:tcW w:w="956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02">
              <w:r>
                <w:rPr>
                  <w:rStyle w:val="InternetLink"/>
                  <w:rFonts w:ascii="Times New Roman;serif" w:hAnsi="Times New Roman;serif"/>
                  <w:b w:val="false"/>
                  <w:color w:val="0000FF"/>
                  <w:sz w:val="20"/>
                  <w:u w:val="single"/>
                </w:rPr>
                <w:t>Affiliate Services Agreement, dated March 18, 2026, between USBC, Inc. and Vast Holdings, Inc.</w:t>
              </w:r>
            </w:hyperlink>
            <w:r>
              <w:rPr>
                <w:color w:val="000000"/>
              </w:rPr>
              <w:t xml:space="preserve"> </w:t>
            </w:r>
            <w:hyperlink r:id="rId103">
              <w:r>
                <w:rPr>
                  <w:rStyle w:val="InternetLink"/>
                  <w:rFonts w:ascii="Times New Roman;serif" w:hAnsi="Times New Roman;serif"/>
                  <w:b w:val="false"/>
                  <w:color w:val="0000FF"/>
                  <w:sz w:val="20"/>
                  <w:u w:val="single"/>
                </w:rPr>
                <w:t>(incorporated by reference to the Company’s Transition Report on Form 10-K, filed on March 25, 2026).</w:t>
              </w:r>
            </w:hyperlink>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10.44#</w:t>
            </w:r>
          </w:p>
        </w:tc>
        <w:tc>
          <w:tcPr>
            <w:tcW w:w="956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04">
              <w:r>
                <w:rPr>
                  <w:rStyle w:val="InternetLink"/>
                  <w:rFonts w:ascii="Times New Roman;serif" w:hAnsi="Times New Roman;serif"/>
                  <w:b w:val="false"/>
                  <w:color w:val="0000FF"/>
                  <w:sz w:val="20"/>
                  <w:u w:val="single"/>
                </w:rPr>
                <w:t>Stock Purchase Agreement, dated March 27, 2026, by and among USBC, Inc., Particle, Inc., Particle Acquisition Corporation, and Ron Erickson (incorporated by reference to the Company’s Current Report on Form 8-K, filed April 2, 2026).</w:t>
              </w:r>
            </w:hyperlink>
          </w:p>
        </w:tc>
      </w:tr>
      <w:tr>
        <w:trPr/>
        <w:tc>
          <w:tcPr>
            <w:tcW w:w="6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EE"/>
                <w:sz w:val="20"/>
              </w:rPr>
              <w:t>10.45</w:t>
            </w:r>
            <w:r>
              <w:rPr>
                <w:color w:val="0000FF"/>
              </w:rPr>
              <w:t>†</w:t>
            </w:r>
          </w:p>
        </w:tc>
        <w:tc>
          <w:tcPr>
            <w:tcW w:w="956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05">
              <w:r>
                <w:rPr>
                  <w:rStyle w:val="InternetLink"/>
                  <w:rFonts w:ascii="Times New Roman;serif" w:hAnsi="Times New Roman;serif"/>
                  <w:b w:val="false"/>
                  <w:color w:val="0000FF"/>
                  <w:sz w:val="20"/>
                  <w:u w:val="single"/>
                </w:rPr>
                <w:t>Separation and General Release Agreement, dated April 9, 2026, by and between the Company and Ronald Erickson. (incorporated by reference to the Company’s Transition Report on Form 10-K/A, filed April 27, 2026).</w:t>
              </w:r>
            </w:hyperlink>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EE"/>
                <w:sz w:val="20"/>
              </w:rPr>
            </w:pPr>
            <w:r>
              <w:rPr>
                <w:rFonts w:ascii="Times New Roman;serif" w:hAnsi="Times New Roman;serif"/>
                <w:b w:val="false"/>
                <w:color w:val="0000EE"/>
                <w:sz w:val="20"/>
              </w:rPr>
              <w:t>23.1*</w:t>
            </w:r>
          </w:p>
        </w:tc>
        <w:tc>
          <w:tcPr>
            <w:tcW w:w="956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usbcs-1ano3consent.htm">
              <w:r>
                <w:rPr>
                  <w:rStyle w:val="InternetLink"/>
                  <w:rFonts w:ascii="Times New Roman;serif" w:hAnsi="Times New Roman;serif"/>
                  <w:b w:val="false"/>
                  <w:color w:val="0000FF"/>
                  <w:sz w:val="20"/>
                  <w:u w:val="single"/>
                </w:rPr>
                <w:t>Consent of BPM LLP, Independent Registered Public Accounting Firm.</w:t>
              </w:r>
            </w:hyperlink>
          </w:p>
        </w:tc>
      </w:tr>
      <w:tr>
        <w:trPr/>
        <w:tc>
          <w:tcPr>
            <w:tcW w:w="6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23.2*</w:t>
            </w:r>
          </w:p>
        </w:tc>
        <w:tc>
          <w:tcPr>
            <w:tcW w:w="956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usbcinc-exhibit51opinionsx1.htm">
              <w:r>
                <w:rPr>
                  <w:rStyle w:val="InternetLink"/>
                  <w:rFonts w:ascii="Times New Roman;serif" w:hAnsi="Times New Roman;serif"/>
                  <w:b w:val="false"/>
                  <w:color w:val="0000FF"/>
                  <w:sz w:val="20"/>
                  <w:u w:val="single"/>
                </w:rPr>
                <w:t>Consent of Holland &amp; Hart LLP (included in 5.1 Opinion).</w:t>
              </w:r>
            </w:hyperlink>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24.1**</w:t>
            </w:r>
          </w:p>
        </w:tc>
        <w:tc>
          <w:tcPr>
            <w:tcW w:w="956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06">
              <w:r>
                <w:rPr>
                  <w:rStyle w:val="InternetLink"/>
                  <w:rFonts w:ascii="Times New Roman;serif" w:hAnsi="Times New Roman;serif"/>
                  <w:b w:val="false"/>
                  <w:color w:val="0000FF"/>
                  <w:sz w:val="20"/>
                  <w:u w:val="single"/>
                </w:rPr>
                <w:t>Power of Attorney (included on signature page hereto).</w:t>
              </w:r>
            </w:hyperlink>
          </w:p>
        </w:tc>
      </w:tr>
      <w:tr>
        <w:trPr/>
        <w:tc>
          <w:tcPr>
            <w:tcW w:w="639"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107**</w:t>
            </w:r>
          </w:p>
        </w:tc>
        <w:tc>
          <w:tcPr>
            <w:tcW w:w="9566" w:type="dxa"/>
            <w:gridSpan w:val="3"/>
            <w:tcBorders/>
            <w:shd w:fill="BFE4FF" w:val="clear"/>
            <w:tcMar>
              <w:top w:w="0" w:type="dxa"/>
              <w:left w:w="0" w:type="dxa"/>
              <w:bottom w:w="0" w:type="dxa"/>
              <w:right w:w="0" w:type="dxa"/>
            </w:tcMar>
            <w:vAlign w:val="center"/>
          </w:tcPr>
          <w:p>
            <w:pPr>
              <w:pStyle w:val="TableContents"/>
              <w:bidi w:val="0"/>
              <w:spacing w:lineRule="auto" w:line="268" w:before="0" w:after="0"/>
              <w:jc w:val="left"/>
              <w:rPr/>
            </w:pPr>
            <w:hyperlink r:id="rId107">
              <w:r>
                <w:rPr>
                  <w:rStyle w:val="InternetLink"/>
                  <w:rFonts w:ascii="Times New Roman;serif" w:hAnsi="Times New Roman;serif"/>
                  <w:b w:val="false"/>
                  <w:color w:val="0000FF"/>
                  <w:sz w:val="20"/>
                  <w:u w:val="single"/>
                </w:rPr>
                <w:t>Filing Fee.</w:t>
              </w:r>
            </w:hyperlink>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Previously filed.</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Executive compensation plan or arrangement</w:t>
      </w:r>
    </w:p>
    <w:p>
      <w:pPr>
        <w:pStyle w:val="TextBody"/>
        <w:bidi w:val="0"/>
        <w:spacing w:lineRule="auto" w:line="288" w:before="0" w:after="0"/>
        <w:jc w:val="both"/>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Portions of this exhibit have been omitted pursuant to Rule 601(b)(10) of Regulation S-K. The omitted information is not material and would likely cause competitive harm to the registrant if publicly disclosed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To file, during any period in which offers or sales are being made, a post-effective amendment to this registration statement:</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 of 1933;</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provided, however, that paragraphs (b)(1)(i), (ii), and (iii)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II-6</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 To remove from registration by means of a post-effective amendment any of the securities being registered which remain unsold at the termination of the offering.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 Any preliminary prospectus or prospectus of the undersigned registrant relating to the offering required to be filed pursuant to Rule 424;</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(ii) Any free writing prospectus relating to the offering prepared by or on behalf of the undersigned registrant or used or referred to by the undersigned registrant;</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(iv) Any other communication that is an offer in the offering made by the undersigned registrant to the purchaser</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(f)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 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II-7</w:t>
                      </w:r>
                    </w:p>
                  </w:txbxContent>
                </v:textbox>
                <w10:wrap type="none"/>
              </v:rect>
            </w:pict>
          </mc:Fallback>
        </mc:AlternateContent>
      </w:r>
    </w:p>
    <w:p>
      <w:pPr>
        <w:pStyle w:val="TextBody"/>
        <w:bidi w:val="0"/>
        <w:spacing w:lineRule="auto" w:line="240" w:before="0" w:after="0"/>
        <w:jc w:val="left"/>
        <w:rPr/>
      </w:pPr>
      <w:hyperlink w:anchor="ia990a41a05084168a2243fc9c4558bf1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has duly caused this registration statement to be signed on its behalf by the undersigned, thereunto duly authorized in the City of Reno, Nevada on July 6, 2026.</w:t>
      </w:r>
    </w:p>
    <w:p>
      <w:pPr>
        <w:pStyle w:val="TextBody"/>
        <w:bidi w:val="0"/>
        <w:spacing w:before="0" w:after="0"/>
        <w:ind w:left="0" w:right="0" w:firstLine="675"/>
        <w:jc w:val="both"/>
        <w:rPr/>
      </w:pPr>
      <w:r>
        <w:rPr/>
      </w:r>
    </w:p>
    <w:tbl>
      <w:tblPr>
        <w:tblW w:w="5680"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129"/>
        <w:gridCol w:w="129"/>
        <w:gridCol w:w="44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451" w:type="dxa"/>
            <w:tcBorders/>
            <w:vAlign w:val="center"/>
          </w:tcPr>
          <w:p>
            <w:pPr>
              <w:pStyle w:val="TableContents"/>
              <w:bidi w:val="0"/>
              <w:spacing w:before="0" w:after="283"/>
              <w:ind w:left="0" w:right="0" w:firstLine="3600"/>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USBC,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 Kitty Payne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ind w:left="0" w:right="0" w:firstLine="3600"/>
              <w:jc w:val="left"/>
              <w:rPr>
                <w:rFonts w:ascii="Times New Roman;serif" w:hAnsi="Times New Roman;serif"/>
                <w:b w:val="false"/>
                <w:color w:val="000000"/>
                <w:sz w:val="20"/>
              </w:rPr>
            </w:pPr>
            <w:r>
              <w:rPr>
                <w:rFonts w:ascii="Times New Roman;serif" w:hAnsi="Times New Roman;serif"/>
                <w:b w:val="false"/>
                <w:color w:val="000000"/>
                <w:sz w:val="20"/>
              </w:rPr>
              <w:t>Kitty Payne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held on the dates indicated:</w:t>
      </w:r>
    </w:p>
    <w:tbl>
      <w:tblPr>
        <w:tblW w:w="7034" w:type="dxa"/>
        <w:jc w:val="left"/>
        <w:tblInd w:w="0" w:type="dxa"/>
        <w:tblLayout w:type="fixed"/>
        <w:tblCellMar>
          <w:top w:w="28" w:type="dxa"/>
          <w:left w:w="28" w:type="dxa"/>
          <w:bottom w:w="28" w:type="dxa"/>
          <w:right w:w="28" w:type="dxa"/>
        </w:tblCellMar>
      </w:tblPr>
      <w:tblGrid>
        <w:gridCol w:w="662"/>
        <w:gridCol w:w="581"/>
        <w:gridCol w:w="587"/>
        <w:gridCol w:w="1343"/>
        <w:gridCol w:w="1343"/>
        <w:gridCol w:w="1363"/>
        <w:gridCol w:w="338"/>
        <w:gridCol w:w="338"/>
        <w:gridCol w:w="479"/>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Person</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Capacity</w:t>
            </w:r>
          </w:p>
        </w:tc>
        <w:tc>
          <w:tcPr>
            <w:tcW w:w="115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Date</w:t>
            </w:r>
          </w:p>
        </w:tc>
      </w:tr>
      <w:tr>
        <w:trPr/>
        <w:tc>
          <w:tcPr>
            <w:tcW w:w="1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 Kitty Payne</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Kitty Payne</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115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6, 2026</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President and Chairman</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Robert Gregory Kidd</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115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6, 2026</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Director/Vice-Chair</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Linda Jenkinson</w:t>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6, 2026</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Jon Pepper</w:t>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6, 2026</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William A. Owens</w:t>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6, 2026</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Ichiro Takesako</w:t>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6, 2026</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Larry K. Ellingson</w:t>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6, 2026</w:t>
            </w:r>
          </w:p>
        </w:tc>
      </w:tr>
    </w:tbl>
    <w:p>
      <w:pPr>
        <w:pStyle w:val="TextBody"/>
        <w:bidi w:val="0"/>
        <w:spacing w:before="0" w:after="0"/>
        <w:jc w:val="left"/>
        <w:rPr/>
      </w:pPr>
      <w:r>
        <w:rPr/>
      </w:r>
    </w:p>
    <w:p>
      <w:pPr>
        <w:pStyle w:val="TextBody"/>
        <w:bidi w:val="0"/>
        <w:spacing w:before="0" w:after="0"/>
        <w:jc w:val="left"/>
        <w:rPr/>
      </w:pPr>
      <w:r>
        <w:rPr/>
      </w:r>
    </w:p>
    <w:tbl>
      <w:tblPr>
        <w:tblW w:w="1920" w:type="dxa"/>
        <w:jc w:val="left"/>
        <w:tblInd w:w="0" w:type="dxa"/>
        <w:tblLayout w:type="fixed"/>
        <w:tblCellMar>
          <w:top w:w="28" w:type="dxa"/>
          <w:left w:w="28" w:type="dxa"/>
          <w:bottom w:w="28" w:type="dxa"/>
          <w:right w:w="28" w:type="dxa"/>
        </w:tblCellMar>
      </w:tblPr>
      <w:tblGrid>
        <w:gridCol w:w="206"/>
        <w:gridCol w:w="181"/>
        <w:gridCol w:w="183"/>
        <w:gridCol w:w="394"/>
        <w:gridCol w:w="394"/>
        <w:gridCol w:w="562"/>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By:</w:t>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/s/ Kitty Payne</w:t>
            </w:r>
          </w:p>
        </w:tc>
      </w:tr>
      <w:tr>
        <w:trPr/>
        <w:tc>
          <w:tcPr>
            <w:tcW w:w="1920" w:type="dxa"/>
            <w:gridSpan w:val="6"/>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Kitty Payne</w:t>
            </w:r>
          </w:p>
        </w:tc>
      </w:tr>
      <w:tr>
        <w:trPr/>
        <w:tc>
          <w:tcPr>
            <w:tcW w:w="1920" w:type="dxa"/>
            <w:gridSpan w:val="6"/>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Attorney-in-fact</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July 6, 2026</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USBC, Inc.</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300 E. 2nd Street, 15th Floor</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Reno, Nevada 89501</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before="0" w:after="0"/>
        <w:jc w:val="left"/>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0"/>
        </w:rPr>
        <w:t>We have acted as counsel to USBC, Inc. (f/k/a Know Labs, Inc.), a Nevada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in connection with the filing by the Company of a Registration Statement on Form S-1 with the Securities and Exchange Commission (the “</w:t>
      </w:r>
      <w:r>
        <w:rPr>
          <w:rFonts w:ascii="Times New Roman;serif" w:hAnsi="Times New Roman;serif"/>
          <w:b/>
          <w:i/>
          <w:color w:val="000000"/>
          <w:sz w:val="20"/>
        </w:rPr>
        <w:t>Commission</w:t>
      </w:r>
      <w:r>
        <w:rPr>
          <w:color w:val="000000"/>
        </w:rPr>
        <w:t>”</w:t>
      </w:r>
      <w:r>
        <w:rPr>
          <w:rFonts w:ascii="Times New Roman;serif" w:hAnsi="Times New Roman;serif"/>
          <w:b w:val="false"/>
          <w:color w:val="000000"/>
          <w:sz w:val="20"/>
        </w:rPr>
        <w:t>) on the date hereof (as amended, the “</w:t>
      </w:r>
      <w:r>
        <w:rPr>
          <w:rFonts w:ascii="Times New Roman;serif" w:hAnsi="Times New Roman;serif"/>
          <w:b/>
          <w:i/>
          <w:color w:val="000000"/>
          <w:sz w:val="20"/>
        </w:rPr>
        <w:t>Registration Statement</w:t>
      </w:r>
      <w:r>
        <w:rPr>
          <w:color w:val="000000"/>
        </w:rPr>
        <w:t>”</w:t>
      </w:r>
      <w:r>
        <w:rPr>
          <w:rFonts w:ascii="Times New Roman;serif" w:hAnsi="Times New Roman;serif"/>
          <w:b w:val="false"/>
          <w:color w:val="000000"/>
          <w:sz w:val="20"/>
        </w:rPr>
        <w:t>). This opinion covers the issuance and sale by the Company pursuant to the Registration Statement of 359,815,000 shares (the “</w:t>
      </w:r>
      <w:r>
        <w:rPr>
          <w:rFonts w:ascii="Times New Roman;serif" w:hAnsi="Times New Roman;serif"/>
          <w:b/>
          <w:i/>
          <w:color w:val="000000"/>
          <w:sz w:val="20"/>
        </w:rPr>
        <w:t>Shares</w:t>
      </w:r>
      <w:r>
        <w:rPr>
          <w:color w:val="000000"/>
        </w:rPr>
        <w:t>”</w:t>
      </w:r>
      <w:r>
        <w:rPr>
          <w:rFonts w:ascii="Times New Roman;serif" w:hAnsi="Times New Roman;serif"/>
          <w:b w:val="false"/>
          <w:color w:val="000000"/>
          <w:sz w:val="20"/>
        </w:rPr>
        <w:t>) of the Company’s common stock, par value $0.001 per share.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opinion letter is furnished to you at your request to enable you to fulfill the requirements of Item 601(b)(5) of Regulation S-K promulgated under the Securities Act (17 C.F.R. § 229.601(b)(5)) in connection with the Registration Statement, and no opinion is expressed or may be implied herein as to any matter pertaining to the contents of the Registration Statement other than the opinions expressly set forth below.</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arriving at the opinions expressed below, we have examined and relied on the following documents: (a) the Restated Articles of Incorporation of the Company, as amended; (b) the Second Amended and Restated Bylaws of the Company; (c) the consents of the Board of Directors of the Company provided to us approving the issuance of the Shares, and (d) the Officer’s Certificate provided to us by the Company, in which we have assumed the truthfulness and validity of such representations contained therein. In addition, we have examined and relied on the originals or copies certified or otherwise identified to our satisfaction of all such corporate records of the Company and such other instruments and other certificates of public officials, officers and representatives of the Company and such other persons, and we have made such investigations of law, as we have deemed appropriate as a basis for the opinions expressed below. We have assumed for purposes of this opinion that: (a) the genuineness and authenticity of all signatures on original documents; (b) the accuracy and completeness of all documents delivered to us and the authenticity of all documents submitted to us as originals; (c) the conformity to originals of all documents submitted to us as copies; (d) the accuracy, completeness and authenticity of certificates of public officials; (e) the legal capacity of all natural persons; and (f) the due authorization, execution and delivery of all documents by parties other than the Company. This opinion letter is given, and all statements herein are made, in the context of the foregoing.</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opining herein as to Chapter 78 of the Nevada Revised Statutes, as amended, and applicable provisions of the Nevada Constitution. We express no opinion with respect to the applicability thereto, or the effect thereon, of the laws of any other jurisdiction, or as to any matters of municipal law or the laws of any local agencies within any state.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foregoing, and subject to the qualifications, assumptions and limitations stated herein, we are of the opinion that the Shares have been duly authorized, validly issued and are fully paid and non-assessable.</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opinion is qualified to the extent that the enforceability of any document or instrument may be limited by or subject to bankruptcy, insolvency, fraudulent transfer or conveyance, reorganization, moratorium or other similar laws relating to or affecting creditors’ rights generally, and general equitable or public policy principles.</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expressly disavow any obligation to advise you with respect to future changes in law or in our knowledge or as to any event or change of condition occurring subsequent to the date of this letter. This opinion is for your benefit in connection with the Registration Statement and may be relied upon by you and by persons entitled to rely upon it pursuant to the applicable provisions of the Securities Act.</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consent to the filing of this opinion as Exhibit 5.1 to the Registration Statement. We also consent to the reference to our firm under the heading “Legal Matters” in the Prospectus constituting a part of the Registration Statement. In giving these consents, we do not thereby admit that we are within the category of persons whose consent is required under Section 7 of the Securities Act or the rules and regulations of the Commission.</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before="0" w:after="0"/>
        <w:ind w:left="0" w:right="0" w:firstLine="720"/>
        <w:jc w:val="left"/>
        <w:rPr/>
      </w:pPr>
      <w:r>
        <w:rPr/>
      </w:r>
    </w:p>
    <w:p>
      <w:pPr>
        <w:pStyle w:val="TextBody"/>
        <w:bidi w:val="0"/>
        <w:spacing w:lineRule="auto" w:line="333" w:before="0" w:after="0"/>
        <w:jc w:val="left"/>
        <w:rPr>
          <w:rFonts w:ascii="Times New Roman;serif" w:hAnsi="Times New Roman;serif"/>
          <w:b w:val="false"/>
          <w:i/>
          <w:color w:val="000000"/>
          <w:sz w:val="20"/>
        </w:rPr>
      </w:pPr>
      <w:r>
        <w:rPr>
          <w:rFonts w:ascii="Times New Roman;serif" w:hAnsi="Times New Roman;serif"/>
          <w:b w:val="false"/>
          <w:i/>
          <w:color w:val="000000"/>
          <w:sz w:val="20"/>
        </w:rPr>
        <w:t>/s/ Holland &amp; Hart LLP</w:t>
      </w:r>
    </w:p>
    <w:p>
      <w:pPr>
        <w:pStyle w:val="TextBody"/>
        <w:bidi w:val="0"/>
        <w:spacing w:before="0" w:after="0"/>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hereby consent to the incorporation by reference in this Amendment No. 3 to the Registration Statement on Form S-1 of USBC, Inc. of our report dated March 24, 2026, relating to the consolidated financial statements, which appears in USBC Inc.’s Transition Report on Form 10-K for the transition period ended December 31, 2025 (as amended). We also consent to the reference to us under the heading “Experts” in such Registration Statement.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 BPM LLP</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Santa Rosa, California</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July 6, 2026</w:t>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July 6,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USBC,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300 E. 2nd Street, 15th Floor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Reno, Nevada 89501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have acted as counsel to USBC, Inc. (f/k/a Know Labs, Inc.), a Nevada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in connection with the filing by the Company of a Registration Statement on Form S-1 with the Securities and Exchange Commission (the “</w:t>
      </w:r>
      <w:r>
        <w:rPr>
          <w:rFonts w:ascii="Times New Roman;serif" w:hAnsi="Times New Roman;serif"/>
          <w:b/>
          <w:i/>
          <w:color w:val="000000"/>
          <w:sz w:val="20"/>
        </w:rPr>
        <w:t>Commission</w:t>
      </w:r>
      <w:r>
        <w:rPr>
          <w:color w:val="000000"/>
        </w:rPr>
        <w:t>”</w:t>
      </w:r>
      <w:r>
        <w:rPr>
          <w:rFonts w:ascii="Times New Roman;serif" w:hAnsi="Times New Roman;serif"/>
          <w:b w:val="false"/>
          <w:color w:val="000000"/>
          <w:sz w:val="20"/>
        </w:rPr>
        <w:t>) on the date hereof (as amended, the “</w:t>
      </w:r>
      <w:r>
        <w:rPr>
          <w:rFonts w:ascii="Times New Roman;serif" w:hAnsi="Times New Roman;serif"/>
          <w:b/>
          <w:i/>
          <w:color w:val="000000"/>
          <w:sz w:val="20"/>
        </w:rPr>
        <w:t>Registration Statement</w:t>
      </w:r>
      <w:r>
        <w:rPr>
          <w:color w:val="000000"/>
        </w:rPr>
        <w:t>”</w:t>
      </w:r>
      <w:r>
        <w:rPr>
          <w:rFonts w:ascii="Times New Roman;serif" w:hAnsi="Times New Roman;serif"/>
          <w:b w:val="false"/>
          <w:color w:val="000000"/>
          <w:sz w:val="20"/>
        </w:rPr>
        <w:t>). This opinion covers the issuance and sale by the Company pursuant to the Registration Statement of 359,815,000 shares (the “</w:t>
      </w:r>
      <w:r>
        <w:rPr>
          <w:rFonts w:ascii="Times New Roman;serif" w:hAnsi="Times New Roman;serif"/>
          <w:b/>
          <w:i/>
          <w:color w:val="000000"/>
          <w:sz w:val="20"/>
        </w:rPr>
        <w:t>Shares</w:t>
      </w:r>
      <w:r>
        <w:rPr>
          <w:color w:val="000000"/>
        </w:rPr>
        <w:t>”</w:t>
      </w:r>
      <w:r>
        <w:rPr>
          <w:rFonts w:ascii="Times New Roman;serif" w:hAnsi="Times New Roman;serif"/>
          <w:b w:val="false"/>
          <w:color w:val="000000"/>
          <w:sz w:val="20"/>
        </w:rPr>
        <w:t>) of the Company’s common stock, par value $0.001 per share.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opinion letter is furnished to you at your request to enable you to fulfill the requirements of Item 601(b)(5) of Regulation S-K promulgated under the Securities Act (17 C.F.R. § 229.601(b)(5)) in connection with the Registration Statement, and no opinion is expressed or may be implied herein as to any matter pertaining to the contents of the Registration Statement other than the opinions expressly set forth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arriving at the opinions expressed below, we have examined and relied on the following documents: (a) the Restated Articles of Incorporation of the Company, as amended; (b) the Second Amended and Restated Bylaws of the Company; (c) the consents of the Board of Directors of the Company provided to us approving the issuance of the Shares, and (d) the Officer’s Certificate provided to us by the Company, in which we have assumed the truthfulness and validity of such representations contained therein. In addition, we have examined and relied on the originals or copies certified or otherwise identified to our satisfaction of all such corporate records of the Company and such other instruments and other certificates of public officials, officers and representatives of the Company and such other persons, and we have made such investigations of law, as we have deemed appropriate as a basis for the opinions expressed below. We have assumed for purposes of this opinion that: (a) the genuineness and authenticity of all signatures on original documents; (b) the accuracy and completeness of all documents delivered to us and the authenticity of all documents submitted to us as originals; (c) the conformity to originals of all documents submitted to us as copies; (d) the accuracy, completeness and authenticity of certificates of public officials; (e) the legal capacity of all natural persons; and (f) the due authorization, execution and delivery of all documents by parties other than the Company. This opinion letter is given, and all statements herein are made, in the context of the foregoing.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opining herein as to Chapter 78 of the Nevada Revised Statutes, as amended, and applicable provisions of the Nevada Constitution. We express no opinion with respect to the applicability thereto, or the effect thereon, of the laws of any other jurisdiction, or as to any matters of municipal law or the laws of any local agencies within any state.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foregoing, and subject to the qualifications, assumptions and limitations stated herein, we are of the opinion that the Shares have been duly authorized, validly issued and are fully paid and non-assessable.</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opinion is qualified to the extent that the enforceability of any document or instrument may be limited by or subject to bankruptcy, insolvency, fraudulent transfer or conveyance, reorganization, moratorium or other similar laws relating to or affecting creditors’ rights generally, and general equitable or public policy principles.</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expressly disavow any obligation to advise you with respect to future changes in law or in our knowledge or as to any event or change of condition occurring subsequent to the date of this letter. This opinion is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your benefit in connection with the Registration Statement and may be relied upon by you and by persons entitled to rely upon it pursuant to the applicable provisions of the Securities 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consent to the filing of this opinion as Exhibit 5.1 to the Registration Statement. We also consent to the reference to our firm under the heading “Legal Matters” in the Prospectus constituting a part of the Registration Statement. In giving these consents, we do not thereby admit that we are within the category of persons whose consent is required under Section 7 of the Securities Act or the rules and regulations of the Commission.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 Holland &amp; Hart LLP</w:t>
      </w:r>
    </w:p>
    <w:p>
      <w:pPr>
        <w:pStyle w:val="TextBody"/>
        <w:bidi w:val="0"/>
        <w:spacing w:before="0" w:after="0"/>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074828/000107482826000027/usbc-20260331.htm" TargetMode="External"/><Relationship Id="rId4" Type="http://schemas.openxmlformats.org/officeDocument/2006/relationships/hyperlink" Target="https://www.sec.gov/ix?doc=/Archives/edgar/data/0001074828/000165495426002725/usbc_10k.htm" TargetMode="External"/><Relationship Id="rId5" Type="http://schemas.openxmlformats.org/officeDocument/2006/relationships/hyperlink" Target="https://www.sec.gov/Archives/edgar/data/1074828/000165495425014138/usbc_10k.htm" TargetMode="External"/><Relationship Id="rId6" Type="http://schemas.openxmlformats.org/officeDocument/2006/relationships/hyperlink" Target="https://www.sec.gov/Archives/edgar/data/1074828/000165495425011446/usbc_8k.htm" TargetMode="External"/><Relationship Id="rId7" Type="http://schemas.openxmlformats.org/officeDocument/2006/relationships/hyperlink" Target="https://www.sec.gov/Archives/edgar/data/1074828/000116169725000354/form_8-k.htm" TargetMode="External"/><Relationship Id="rId8" Type="http://schemas.openxmlformats.org/officeDocument/2006/relationships/hyperlink" Target="https://www.sec.gov/Archives/edgar/data/1074828/000116169725000380/form_8-k.htm" TargetMode="External"/><Relationship Id="rId9" Type="http://schemas.openxmlformats.org/officeDocument/2006/relationships/hyperlink" Target="https://www.sec.gov/Archives/edgar/data/1074828/000116169725000467/form_8-k.htm" TargetMode="External"/><Relationship Id="rId10" Type="http://schemas.openxmlformats.org/officeDocument/2006/relationships/hyperlink" Target="https://www.sec.gov/Archives/edgar/data/1074828/000116169725000473/form_8-k.htm" TargetMode="External"/><Relationship Id="rId11" Type="http://schemas.openxmlformats.org/officeDocument/2006/relationships/hyperlink" Target="https://www.sec.gov/ix?doc=/Archives/edgar/data/0001074828/000165495426000275/usbc_8k.htm" TargetMode="External"/><Relationship Id="rId12" Type="http://schemas.openxmlformats.org/officeDocument/2006/relationships/hyperlink" Target="https://www.sec.gov/ix?doc=/Archives/edgar/data/0001074828/000165495426000281/usbc_8k.htm" TargetMode="External"/><Relationship Id="rId13" Type="http://schemas.openxmlformats.org/officeDocument/2006/relationships/hyperlink" Target="https://www.sec.gov/ix?doc=/Archives/edgar/data/0001074828/000165495426000601/usbc_8k.htm" TargetMode="External"/><Relationship Id="rId14" Type="http://schemas.openxmlformats.org/officeDocument/2006/relationships/hyperlink" Target="https://www.sec.gov/ix?doc=/Archives/edgar/data/0001074828/000117184326001453/f8k_031026.htm" TargetMode="External"/><Relationship Id="rId15" Type="http://schemas.openxmlformats.org/officeDocument/2006/relationships/hyperlink" Target="https://www.sec.gov/ix?doc=/Archives/edgar/data/0001074828/000107482826000005/usbc-20260318.htm" TargetMode="External"/><Relationship Id="rId16" Type="http://schemas.openxmlformats.org/officeDocument/2006/relationships/hyperlink" Target="https://www.sec.gov/ix?doc=/Archives/edgar/data/0001074828/000117184326002066/f8k_033126.htm" TargetMode="External"/><Relationship Id="rId17" Type="http://schemas.openxmlformats.org/officeDocument/2006/relationships/hyperlink" Target="https://www.sec.gov/ix?doc=/Archives/edgar/data/0001074828/000117184326002209/f8k_040226.htm" TargetMode="External"/><Relationship Id="rId18" Type="http://schemas.openxmlformats.org/officeDocument/2006/relationships/hyperlink" Target="https://www.sec.gov/ix?doc=/Archives/edgar/data/0001074828/000107482826000008/usbc-20260409.htm" TargetMode="External"/><Relationship Id="rId19" Type="http://schemas.openxmlformats.org/officeDocument/2006/relationships/hyperlink" Target="https://www.sec.gov/ix?doc=/Archives/edgar/data/0001074828/000107482826000023/usbc-20260427.htm" TargetMode="External"/><Relationship Id="rId20" Type="http://schemas.openxmlformats.org/officeDocument/2006/relationships/hyperlink" Target="https://www.sec.gov/ix?doc=/Archives/edgar/data/0001074828/000107482826000023/usbc-20260427.htm" TargetMode="External"/><Relationship Id="rId21" Type="http://schemas.openxmlformats.org/officeDocument/2006/relationships/hyperlink" Target="https://www.sec.gov/ix?doc=/Archives/edgar/data/0001074828/000107482826000030/usbc-20260601.htm" TargetMode="External"/><Relationship Id="rId22" Type="http://schemas.openxmlformats.org/officeDocument/2006/relationships/hyperlink" Target="https://www.sec.gov/ix?doc=/Archives/edgar/data/0001074828/000107482826000037/usbc-20260615.htm" TargetMode="External"/><Relationship Id="rId23" Type="http://schemas.openxmlformats.org/officeDocument/2006/relationships/hyperlink" Target="https://www.sec.gov/ix?doc=/Archives/edgar/data/0001074828/000107482826000037/usbc-20260615.htm" TargetMode="External"/><Relationship Id="rId24" Type="http://schemas.openxmlformats.org/officeDocument/2006/relationships/hyperlink" Target="https://www.sec.gov/Archives/edgar/data/1074828/000165495422012530/knwn_8k.htm" TargetMode="External"/><Relationship Id="rId25" Type="http://schemas.openxmlformats.org/officeDocument/2006/relationships/hyperlink" Target="https://www.sec.gov/Archives/edgar/data/1074828/000165495425014138/usbc_ex42.htm" TargetMode="External"/><Relationship Id="rId26" Type="http://schemas.openxmlformats.org/officeDocument/2006/relationships/hyperlink" Target="https://www.sec.gov/Archives/edgar/data/1074828/000165495423010775/know_ex31.htm" TargetMode="External"/><Relationship Id="rId27" Type="http://schemas.openxmlformats.org/officeDocument/2006/relationships/hyperlink" Target="https://www.sec.gov/Archives/edgar/data/1074828/000165495423010775/know_ex31.htm" TargetMode="External"/><Relationship Id="rId28" Type="http://schemas.openxmlformats.org/officeDocument/2006/relationships/hyperlink" Target="https://www.sec.gov/Archives/edgar/data/1074828/000165495425009164/knwn_ex31.htm" TargetMode="External"/><Relationship Id="rId29" Type="http://schemas.openxmlformats.org/officeDocument/2006/relationships/hyperlink" Target="https://www.sec.gov/Archives/edgar/data/1074828/000165495425009164/knwn_ex31.htm" TargetMode="External"/><Relationship Id="rId30" Type="http://schemas.openxmlformats.org/officeDocument/2006/relationships/hyperlink" Target="https://www.sec.gov/Archives/edgar/data/1074828/000165495423010775/know_ex34.htm" TargetMode="External"/><Relationship Id="rId31" Type="http://schemas.openxmlformats.org/officeDocument/2006/relationships/hyperlink" Target="https://www.sec.gov/Archives/edgar/data/1074828/000165495423010775/know_ex34.htm" TargetMode="External"/><Relationship Id="rId32" Type="http://schemas.openxmlformats.org/officeDocument/2006/relationships/hyperlink" Target="https://www.sec.gov/Archives/edgar/data/1074828/000165495423010775/know_ex36.htm" TargetMode="External"/><Relationship Id="rId33" Type="http://schemas.openxmlformats.org/officeDocument/2006/relationships/hyperlink" Target="https://www.sec.gov/Archives/edgar/data/1074828/000165495423010775/know_ex36.htm" TargetMode="External"/><Relationship Id="rId34" Type="http://schemas.openxmlformats.org/officeDocument/2006/relationships/hyperlink" Target="https://www.sec.gov/Archives/edgar/data/1074828/000165495423010775/know_ex35.htm" TargetMode="External"/><Relationship Id="rId35" Type="http://schemas.openxmlformats.org/officeDocument/2006/relationships/hyperlink" Target="https://www.sec.gov/Archives/edgar/data/1074828/000165495423010775/know_ex35.htm" TargetMode="External"/><Relationship Id="rId36" Type="http://schemas.openxmlformats.org/officeDocument/2006/relationships/hyperlink" Target="https://www.sec.gov/Archives/edgar/data/1074828/000165495423010775/know_ex33.htm" TargetMode="External"/><Relationship Id="rId37" Type="http://schemas.openxmlformats.org/officeDocument/2006/relationships/hyperlink" Target="https://www.sec.gov/Archives/edgar/data/1074828/000165495423010775/know_ex37.htm" TargetMode="External"/><Relationship Id="rId38" Type="http://schemas.openxmlformats.org/officeDocument/2006/relationships/hyperlink" Target="https://www.sec.gov/Archives/edgar/data/1074828/000165495423010775/know_ex37.htm" TargetMode="External"/><Relationship Id="rId39" Type="http://schemas.openxmlformats.org/officeDocument/2006/relationships/hyperlink" Target="https://www.sec.gov/Archives/edgar/data/1074828/000116169718000395/ex_10-1.htm" TargetMode="External"/><Relationship Id="rId40" Type="http://schemas.openxmlformats.org/officeDocument/2006/relationships/hyperlink" Target="https://www.sec.gov/Archives/edgar/data/1074828/000116169718000395/ex_10-1.htm" TargetMode="External"/><Relationship Id="rId41" Type="http://schemas.openxmlformats.org/officeDocument/2006/relationships/hyperlink" Target="https://www.sec.gov/Archives/edgar/data/1074828/000165495424013513/knwn_ex31.htm" TargetMode="External"/><Relationship Id="rId42" Type="http://schemas.openxmlformats.org/officeDocument/2006/relationships/hyperlink" Target="https://www.sec.gov/Archives/edgar/data/1074828/000116169725000467/ex_3-1.htm" TargetMode="External"/><Relationship Id="rId43" Type="http://schemas.openxmlformats.org/officeDocument/2006/relationships/hyperlink" Target="https://www.sec.gov/Archives/edgar/data/1074828/000116169725000467/ex_3-2.htm" TargetMode="External"/><Relationship Id="rId44" Type="http://schemas.openxmlformats.org/officeDocument/2006/relationships/hyperlink" Target="https://www.sec.gov/Archives/edgar/data/1074828/000116169725000467/ex_3-3.htm" TargetMode="External"/><Relationship Id="rId45" Type="http://schemas.openxmlformats.org/officeDocument/2006/relationships/hyperlink" Target="https://www.sec.gov/Archives/edgar/data/0001074828/000165495421012914/knwn_ex32.htm" TargetMode="External"/><Relationship Id="rId46" Type="http://schemas.openxmlformats.org/officeDocument/2006/relationships/hyperlink" Target="https://www.sec.gov/Archives/edgar/data/1074828/000165495425014138/usbc_ex314.htm" TargetMode="External"/><Relationship Id="rId47" Type="http://schemas.openxmlformats.org/officeDocument/2006/relationships/hyperlink" Target="https://www.sec.gov/Archives/edgar/data/1074828/000165495425011446/usbc_ex101.htm" TargetMode="External"/><Relationship Id="rId48" Type="http://schemas.openxmlformats.org/officeDocument/2006/relationships/hyperlink" Target="https://www.sec.gov/Archives/edgar/data/1074828/000165495425014138/usbc_ex42.htm" TargetMode="External"/><Relationship Id="rId49" Type="http://schemas.openxmlformats.org/officeDocument/2006/relationships/hyperlink" Target="https://www.sec.gov/Archives/edgar/data/1074828/000116169718000142/ex_10-1.htm" TargetMode="External"/><Relationship Id="rId50" Type="http://schemas.openxmlformats.org/officeDocument/2006/relationships/hyperlink" Target="https://www.sec.gov/Archives/edgar/data/1074828/000116169718000142/ex_10-1.htm" TargetMode="External"/><Relationship Id="rId51" Type="http://schemas.openxmlformats.org/officeDocument/2006/relationships/hyperlink" Target="https://www.sec.gov/Archives/edgar/data/1074828/000165495418014237/exhibit_10-21.htm" TargetMode="External"/><Relationship Id="rId52" Type="http://schemas.openxmlformats.org/officeDocument/2006/relationships/hyperlink" Target="https://www.sec.gov/Archives/edgar/data/1074828/000165495418014237/exhibit_10-21.htm" TargetMode="External"/><Relationship Id="rId53" Type="http://schemas.openxmlformats.org/officeDocument/2006/relationships/hyperlink" Target="https://www.sec.gov/Archives/edgar/data/1074828/000165495422011201/knwn_ex1027.htm" TargetMode="External"/><Relationship Id="rId54" Type="http://schemas.openxmlformats.org/officeDocument/2006/relationships/hyperlink" Target="https://www.sec.gov/Archives/edgar/data/1074828/000165495422012787/knwn_ex41.htm" TargetMode="External"/><Relationship Id="rId55" Type="http://schemas.openxmlformats.org/officeDocument/2006/relationships/hyperlink" Target="https://www.sec.gov/Archives/edgar/data/1074828/000165495422012787/knwn_ex41.htm" TargetMode="External"/><Relationship Id="rId56" Type="http://schemas.openxmlformats.org/officeDocument/2006/relationships/hyperlink" Target="https://www.sec.gov/Archives/edgar/data/1074828/000165495422016317/knwn_ex105.htm" TargetMode="External"/><Relationship Id="rId57" Type="http://schemas.openxmlformats.org/officeDocument/2006/relationships/hyperlink" Target="https://www.sec.gov/Archives/edgar/data/1074828/000165495422016317/knwn_ex105.htm" TargetMode="External"/><Relationship Id="rId58" Type="http://schemas.openxmlformats.org/officeDocument/2006/relationships/hyperlink" Target="https://www.sec.gov/Archives/edgar/data/1074828/000116169723000082/ex_10-1.htm" TargetMode="External"/><Relationship Id="rId59" Type="http://schemas.openxmlformats.org/officeDocument/2006/relationships/hyperlink" Target="https://www.sec.gov/Archives/edgar/data/1074828/000165495423012435/knwn_ex41.htm" TargetMode="External"/><Relationship Id="rId60" Type="http://schemas.openxmlformats.org/officeDocument/2006/relationships/hyperlink" Target="https://www.sec.gov/Archives/edgar/data/1074828/000165495423012435/knwn_ex42.htm" TargetMode="External"/><Relationship Id="rId61" Type="http://schemas.openxmlformats.org/officeDocument/2006/relationships/hyperlink" Target="https://www.sec.gov/Archives/edgar/data/1074828/000165495424002413/knwn_ex103.htm" TargetMode="External"/><Relationship Id="rId62" Type="http://schemas.openxmlformats.org/officeDocument/2006/relationships/hyperlink" Target="https://www.sec.gov/Archives/edgar/data/1074828/000165495424010379/knwn_ex41.htm" TargetMode="External"/><Relationship Id="rId63" Type="http://schemas.openxmlformats.org/officeDocument/2006/relationships/hyperlink" Target="https://www.sec.gov/Archives/edgar/data/1074828/000165495423012435/knwn_ex11.htm" TargetMode="External"/><Relationship Id="rId64" Type="http://schemas.openxmlformats.org/officeDocument/2006/relationships/hyperlink" Target="https://www.sec.gov/Archives/edgar/data/1074828/000165495424010379/knwn_ex11.htm" TargetMode="External"/><Relationship Id="rId65" Type="http://schemas.openxmlformats.org/officeDocument/2006/relationships/hyperlink" Target="https://www.sec.gov/Archives/edgar/data/1074828/000165495424010379/knwn_ex42.htm" TargetMode="External"/><Relationship Id="rId66" Type="http://schemas.openxmlformats.org/officeDocument/2006/relationships/hyperlink" Target="https://www.sec.gov/Archives/edgar/data/1074828/000165495424010805/knwn_ex41.htm" TargetMode="External"/><Relationship Id="rId67" Type="http://schemas.openxmlformats.org/officeDocument/2006/relationships/hyperlink" Target="https://www.sec.gov/Archives/edgar/data/1074828/000165495424010805/knwn_ex42.htm" TargetMode="External"/><Relationship Id="rId68" Type="http://schemas.openxmlformats.org/officeDocument/2006/relationships/hyperlink" Target="https://www.sec.gov/Archives/edgar/data/1074828/000165495424010805/knwn_ex42.htm" TargetMode="External"/><Relationship Id="rId69" Type="http://schemas.openxmlformats.org/officeDocument/2006/relationships/hyperlink" Target="https://www.sec.gov/Archives/edgar/data/1074828/000165495424010805/knwn_ex42.htm" TargetMode="External"/><Relationship Id="rId70" Type="http://schemas.openxmlformats.org/officeDocument/2006/relationships/hyperlink" Target="https://www.sec.gov/Archives/edgar/data/1074828/000165495424015668/knwn_ex42.htm" TargetMode="External"/><Relationship Id="rId71" Type="http://schemas.openxmlformats.org/officeDocument/2006/relationships/hyperlink" Target="https://www.sec.gov/Archives/edgar/data/1074828/000165495424015668/knwn_ex41.htm" TargetMode="External"/><Relationship Id="rId72" Type="http://schemas.openxmlformats.org/officeDocument/2006/relationships/hyperlink" Target="https://www.sec.gov/Archives/edgar/data/1074828/000165495424015668/knwn_ex41.htm" TargetMode="External"/><Relationship Id="rId73" Type="http://schemas.openxmlformats.org/officeDocument/2006/relationships/hyperlink" Target="https://www.sec.gov/Archives/edgar/data/1074828/000165495424015668/knwn_ex41.htm" TargetMode="External"/><Relationship Id="rId74" Type="http://schemas.openxmlformats.org/officeDocument/2006/relationships/hyperlink" Target="https://www.sec.gov/Archives/edgar/data/1074828/000165495424015708/knwn_ex991.htm" TargetMode="External"/><Relationship Id="rId75" Type="http://schemas.openxmlformats.org/officeDocument/2006/relationships/hyperlink" Target="https://www.sec.gov/Archives/edgar/data/1074828/000165495424010805/knwn_ex101.htm" TargetMode="External"/><Relationship Id="rId76" Type="http://schemas.openxmlformats.org/officeDocument/2006/relationships/hyperlink" Target="https://www.sec.gov/Archives/edgar/data/1074828/000165495424016026/knwn_ex11.htm" TargetMode="External"/><Relationship Id="rId77" Type="http://schemas.openxmlformats.org/officeDocument/2006/relationships/hyperlink" Target="https://www.sec.gov/Archives/edgar/data/1074828/000165495425014138/usbc_ex1023.htm" TargetMode="External"/><Relationship Id="rId78" Type="http://schemas.openxmlformats.org/officeDocument/2006/relationships/hyperlink" Target="https://www.sec.gov/Archives/edgar/data/1074828/000165495425006583/knwn_ex101.htm" TargetMode="External"/><Relationship Id="rId79" Type="http://schemas.openxmlformats.org/officeDocument/2006/relationships/hyperlink" Target="https://www.sec.gov/Archives/edgar/data/1074828/000165495424015668/knwn_ex101.htm" TargetMode="External"/><Relationship Id="rId80" Type="http://schemas.openxmlformats.org/officeDocument/2006/relationships/hyperlink" Target="https://www.sec.gov/Archives/edgar/data/1074828/000165495425006660/knwn_ex101.htm" TargetMode="External"/><Relationship Id="rId81" Type="http://schemas.openxmlformats.org/officeDocument/2006/relationships/hyperlink" Target="https://www.sec.gov/Archives/edgar/data/1074828/000165495425006660/knwn_ex102.htm" TargetMode="External"/><Relationship Id="rId82" Type="http://schemas.openxmlformats.org/officeDocument/2006/relationships/hyperlink" Target="https://www.sec.gov/Archives/edgar/data/1074828/000165495425010951/usbc_ex1045.htm" TargetMode="External"/><Relationship Id="rId83" Type="http://schemas.openxmlformats.org/officeDocument/2006/relationships/hyperlink" Target="https://www.sec.gov/Archives/edgar/data/1074828/000165495425006660/knwn_ex104.htm" TargetMode="External"/><Relationship Id="rId84" Type="http://schemas.openxmlformats.org/officeDocument/2006/relationships/hyperlink" Target="https://www.sec.gov/Archives/edgar/data/1074828/000165495425009164/knwn_ex101.htm" TargetMode="External"/><Relationship Id="rId85" Type="http://schemas.openxmlformats.org/officeDocument/2006/relationships/hyperlink" Target="https://www.sec.gov/Archives/edgar/data/1074828/000165495425009164/knwn_ex103.htm" TargetMode="External"/><Relationship Id="rId86" Type="http://schemas.openxmlformats.org/officeDocument/2006/relationships/hyperlink" Target="https://www.sec.gov/Archives/edgar/data/1074828/000165495425009164/knwn_ex104.htm" TargetMode="External"/><Relationship Id="rId87" Type="http://schemas.openxmlformats.org/officeDocument/2006/relationships/hyperlink" Target="https://www.sec.gov/Archives/edgar/data/1074828/000165495425006660/knwn_ex105.htm" TargetMode="External"/><Relationship Id="rId88" Type="http://schemas.openxmlformats.org/officeDocument/2006/relationships/hyperlink" Target="https://www.sec.gov/Archives/edgar/data/1074828/000165495425009164/knwn_ex102.htm" TargetMode="External"/><Relationship Id="rId89" Type="http://schemas.openxmlformats.org/officeDocument/2006/relationships/hyperlink" Target="https://www.sec.gov/Archives/edgar/data/1074828/000165495425009164/knwn_ex106.htm" TargetMode="External"/><Relationship Id="rId90" Type="http://schemas.openxmlformats.org/officeDocument/2006/relationships/hyperlink" Target="https://www.sec.gov/Archives/edgar/data/1074828/000165495425009164/knwn_ex106.htm" TargetMode="External"/><Relationship Id="rId91" Type="http://schemas.openxmlformats.org/officeDocument/2006/relationships/hyperlink" Target="https://www.sec.gov/Archives/edgar/data/1074828/000165495425009164/knwn_ex108.htm" TargetMode="External"/><Relationship Id="rId92" Type="http://schemas.openxmlformats.org/officeDocument/2006/relationships/hyperlink" Target="https://www.sec.gov/Archives/edgar/data/1074828/000165495425009690/usbc_ex101.htm" TargetMode="External"/><Relationship Id="rId93" Type="http://schemas.openxmlformats.org/officeDocument/2006/relationships/hyperlink" Target="https://www.sec.gov/Archives/edgar/data/1074828/000165495425014138/usbc_ex1039.htm" TargetMode="External"/><Relationship Id="rId94" Type="http://schemas.openxmlformats.org/officeDocument/2006/relationships/hyperlink" Target="https://www.sec.gov/Archives/edgar/data/1074828/000165495425014138/usbc_ex1040.htm" TargetMode="External"/><Relationship Id="rId95" Type="http://schemas.openxmlformats.org/officeDocument/2006/relationships/hyperlink" Target="https://www.sec.gov/Archives/edgar/data/1074828/000165495425009164/knwn_ex105.htm" TargetMode="External"/><Relationship Id="rId96" Type="http://schemas.openxmlformats.org/officeDocument/2006/relationships/hyperlink" Target="https://www.sec.gov/Archives/edgar/data/1074828/000165495426002725/usbc_ex1033.htm" TargetMode="External"/><Relationship Id="rId97" Type="http://schemas.openxmlformats.org/officeDocument/2006/relationships/hyperlink" Target="https://www.sec.gov/Archives/edgar/data/1074828/000165495425014138/usbc_ex1023.htm" TargetMode="External"/><Relationship Id="rId98" Type="http://schemas.openxmlformats.org/officeDocument/2006/relationships/hyperlink" Target="https://www.sec.gov/Archives/edgar/data/1074828/000165495426000601/usbc_101.htm" TargetMode="External"/><Relationship Id="rId99" Type="http://schemas.openxmlformats.org/officeDocument/2006/relationships/hyperlink" Target="https://www.sec.gov/Archives/edgar/data/1074828/000165495426000601/usbc_101.htm" TargetMode="External"/><Relationship Id="rId100" Type="http://schemas.openxmlformats.org/officeDocument/2006/relationships/hyperlink" Target="https://www.sec.gov/Archives/edgar/data/1074828/000165495426002725/usbc_ex1034.htm" TargetMode="External"/><Relationship Id="rId101" Type="http://schemas.openxmlformats.org/officeDocument/2006/relationships/hyperlink" Target="https://www.sec.gov/Archives/edgar/data/1074828/000165495425014138/usbc_ex1023.htm" TargetMode="External"/><Relationship Id="rId102" Type="http://schemas.openxmlformats.org/officeDocument/2006/relationships/hyperlink" Target="https://www.sec.gov/Archives/edgar/data/1074828/000165495426002725/usbc_ex1035.htm" TargetMode="External"/><Relationship Id="rId103" Type="http://schemas.openxmlformats.org/officeDocument/2006/relationships/hyperlink" Target="https://www.sec.gov/Archives/edgar/data/1074828/000165495425014138/usbc_ex1023.htm" TargetMode="External"/><Relationship Id="rId104" Type="http://schemas.openxmlformats.org/officeDocument/2006/relationships/hyperlink" Target="https://www.sec.gov/Archives/edgar/data/1074828/000117184326002209/exh_101.htm" TargetMode="External"/><Relationship Id="rId105" Type="http://schemas.openxmlformats.org/officeDocument/2006/relationships/hyperlink" Target="https://www.sec.gov/Archives/edgar/data/1074828/000107482826000020/exhibit1037usbc_ronalderic.htm" TargetMode="External"/><Relationship Id="rId106" Type="http://schemas.openxmlformats.org/officeDocument/2006/relationships/hyperlink" Target="https://www.sec.gov/Archives/edgar/data/1074828/000165495425010951/usbc_s1.htm" TargetMode="External"/><Relationship Id="rId107" Type="http://schemas.openxmlformats.org/officeDocument/2006/relationships/hyperlink" Target="https://www.sec.gov/Archives/edgar/data/1074828/000165495425010951/usbc_ex107.htm" TargetMode="External"/><Relationship Id="rId108" Type="http://schemas.openxmlformats.org/officeDocument/2006/relationships/fontTable" Target="fontTable.xml"/><Relationship Id="rId10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27623</Words>
  <Characters>154231</Characters>
  <CharactersWithSpaces>181108</CharactersWithSpaces>
  <Paragraphs>809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