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OWENS WILLIAM ARTHUR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USBC,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 2ND STREET, 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USBC, Inc.</w:t>
              </w:r>
            </w:hyperlink>
            <w:r>
              <w:rPr/>
              <w:t xml:space="preserve"> [ </w:t>
            </w:r>
            <w:r>
              <w:rPr>
                <w:rFonts w:ascii="Times;serif" w:hAnsi="Times;serif"/>
                <w:color w:val="0000FF"/>
                <w:sz w:val="24"/>
                <w:shd w:fill="FFFFFF" w:val="clear"/>
              </w:rPr>
              <w:t>USBC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48,692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12, 2026 (the "Grant Date"), the Reporting Person was granted an option to purchase 120,000 shares of the Issuer's common stock pursuant to the Issuer's Amended and Restated 2021 Equity Incentive Plan. The option vest as to 10,000 shares on September 30, 2026 and in eleven quarterly installments of 10,000 shares thereafter through June 30,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Issuer's 1-for-40 reverse stock split, which became effective on February 19,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A. Owens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4212" TargetMode="External"/><Relationship Id="rId5" Type="http://schemas.openxmlformats.org/officeDocument/2006/relationships/hyperlink" Target="http://www.sec.gov/cgi-bin/browse-edgar?action=getcompany&amp;CIK=0001074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3572</Characters>
  <CharactersWithSpaces>4152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