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2"/>
        </w:rPr>
        <w:t>September 11, 2026</w:t>
      </w:r>
    </w:p>
    <w:p>
      <w:pPr>
        <w:pStyle w:val="TextBody"/>
        <w:bidi w:val="0"/>
        <w:spacing w:lineRule="auto" w:line="288" w:before="0" w:after="0"/>
        <w:jc w:val="left"/>
        <w:rPr>
          <w:color w:val="000000"/>
        </w:rPr>
      </w:pPr>
      <w:r>
        <w:rPr>
          <w:color w:val="000000"/>
        </w:rPr>
        <w:t> </w:t>
      </w:r>
    </w:p>
    <w:tbl>
      <w:tblPr>
        <w:tblW w:w="4290" w:type="dxa"/>
        <w:jc w:val="left"/>
        <w:tblInd w:w="0" w:type="dxa"/>
        <w:tblLayout w:type="fixed"/>
        <w:tblCellMar>
          <w:top w:w="28" w:type="dxa"/>
          <w:left w:w="28" w:type="dxa"/>
          <w:bottom w:w="28" w:type="dxa"/>
          <w:right w:w="28" w:type="dxa"/>
        </w:tblCellMar>
      </w:tblPr>
      <w:tblGrid>
        <w:gridCol w:w="1371"/>
        <w:gridCol w:w="1207"/>
        <w:gridCol w:w="1712"/>
      </w:tblGrid>
      <w:tr>
        <w:trPr/>
        <w:tc>
          <w:tcPr>
            <w:tcW w:w="137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USBC, INC.</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p>
      <w:pPr>
        <w:pStyle w:val="TextBody"/>
        <w:bidi w:val="0"/>
        <w:spacing w:lineRule="auto" w:line="288" w:before="0" w:after="0"/>
        <w:jc w:val="left"/>
        <w:rPr>
          <w:color w:val="000000"/>
        </w:rPr>
      </w:pPr>
      <w:r>
        <w:rPr>
          <w:color w:val="000000"/>
        </w:rPr>
        <w:t> </w:t>
      </w:r>
    </w:p>
    <w:tbl>
      <w:tblPr>
        <w:tblW w:w="6846" w:type="dxa"/>
        <w:jc w:val="left"/>
        <w:tblInd w:w="0" w:type="dxa"/>
        <w:tblLayout w:type="fixed"/>
        <w:tblCellMar>
          <w:top w:w="28" w:type="dxa"/>
          <w:left w:w="28" w:type="dxa"/>
          <w:bottom w:w="28" w:type="dxa"/>
          <w:right w:w="28" w:type="dxa"/>
        </w:tblCellMar>
      </w:tblPr>
      <w:tblGrid>
        <w:gridCol w:w="813"/>
        <w:gridCol w:w="716"/>
        <w:gridCol w:w="720"/>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001-37479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90-0273142</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p>
      <w:pPr>
        <w:pStyle w:val="TextBody"/>
        <w:bidi w:val="0"/>
        <w:spacing w:lineRule="auto" w:line="288" w:before="0" w:after="0"/>
        <w:jc w:val="left"/>
        <w:rPr>
          <w:color w:val="000000"/>
        </w:rPr>
      </w:pPr>
      <w:r>
        <w:rPr>
          <w:color w:val="000000"/>
        </w:rPr>
        <w:t> </w:t>
      </w:r>
    </w:p>
    <w:tbl>
      <w:tblPr>
        <w:tblW w:w="4752" w:type="dxa"/>
        <w:jc w:val="left"/>
        <w:tblInd w:w="0" w:type="dxa"/>
        <w:tblLayout w:type="fixed"/>
        <w:tblCellMar>
          <w:top w:w="28" w:type="dxa"/>
          <w:left w:w="28" w:type="dxa"/>
          <w:bottom w:w="28" w:type="dxa"/>
          <w:right w:w="28" w:type="dxa"/>
        </w:tblCellMar>
      </w:tblPr>
      <w:tblGrid>
        <w:gridCol w:w="1226"/>
        <w:gridCol w:w="1077"/>
        <w:gridCol w:w="1087"/>
        <w:gridCol w:w="109"/>
        <w:gridCol w:w="109"/>
        <w:gridCol w:w="109"/>
        <w:gridCol w:w="303"/>
        <w:gridCol w:w="303"/>
        <w:gridCol w:w="429"/>
      </w:tblGrid>
      <w:tr>
        <w:trPr/>
        <w:tc>
          <w:tcPr>
            <w:tcW w:w="122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300 E 2nd Street, 15th Floor, Reno, NV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89501</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left"/>
        <w:rPr>
          <w:color w:val="000000"/>
        </w:rPr>
      </w:pPr>
      <w:r>
        <w:rPr>
          <w:color w:val="000000"/>
        </w:rPr>
        <w:t> </w:t>
      </w:r>
    </w:p>
    <w:tbl>
      <w:tblPr>
        <w:tblW w:w="4440" w:type="dxa"/>
        <w:jc w:val="left"/>
        <w:tblInd w:w="0" w:type="dxa"/>
        <w:tblLayout w:type="fixed"/>
        <w:tblCellMar>
          <w:top w:w="28" w:type="dxa"/>
          <w:left w:w="28" w:type="dxa"/>
          <w:bottom w:w="28" w:type="dxa"/>
          <w:right w:w="28" w:type="dxa"/>
        </w:tblCellMar>
      </w:tblPr>
      <w:tblGrid>
        <w:gridCol w:w="1417"/>
        <w:gridCol w:w="1250"/>
        <w:gridCol w:w="1773"/>
      </w:tblGrid>
      <w:tr>
        <w:trPr/>
        <w:tc>
          <w:tcPr>
            <w:tcW w:w="141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775-239-7673</w:t>
            </w:r>
          </w:p>
        </w:tc>
      </w:tr>
      <w:tr>
        <w:trPr/>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0" w:after="0"/>
        <w:jc w:val="left"/>
        <w:rPr>
          <w:color w:val="000000"/>
        </w:rPr>
      </w:pPr>
      <w:r>
        <w:rPr>
          <w:color w:val="000000"/>
        </w:rPr>
        <w:t> </w:t>
      </w:r>
    </w:p>
    <w:tbl>
      <w:tblPr>
        <w:tblW w:w="5070" w:type="dxa"/>
        <w:jc w:val="left"/>
        <w:tblInd w:w="0" w:type="dxa"/>
        <w:tblLayout w:type="fixed"/>
        <w:tblCellMar>
          <w:top w:w="28" w:type="dxa"/>
          <w:left w:w="28" w:type="dxa"/>
          <w:bottom w:w="28" w:type="dxa"/>
          <w:right w:w="28" w:type="dxa"/>
        </w:tblCellMar>
      </w:tblPr>
      <w:tblGrid>
        <w:gridCol w:w="1623"/>
        <w:gridCol w:w="1427"/>
        <w:gridCol w:w="2020"/>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07" w:type="dxa"/>
        <w:jc w:val="left"/>
        <w:tblInd w:w="0" w:type="dxa"/>
        <w:tblLayout w:type="fixed"/>
        <w:tblCellMar>
          <w:top w:w="28" w:type="dxa"/>
          <w:left w:w="28" w:type="dxa"/>
          <w:bottom w:w="28" w:type="dxa"/>
          <w:right w:w="28" w:type="dxa"/>
        </w:tblCellMar>
      </w:tblPr>
      <w:tblGrid>
        <w:gridCol w:w="1024"/>
        <w:gridCol w:w="900"/>
        <w:gridCol w:w="910"/>
        <w:gridCol w:w="109"/>
        <w:gridCol w:w="109"/>
        <w:gridCol w:w="109"/>
        <w:gridCol w:w="564"/>
        <w:gridCol w:w="564"/>
        <w:gridCol w:w="566"/>
        <w:gridCol w:w="109"/>
        <w:gridCol w:w="109"/>
        <w:gridCol w:w="109"/>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USBC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NYSE American LLC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2.03 - Creation of a Direct Financial Obligation or an Obligation under an Off-Balance Sheet Arrangement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11, 2026, USBC, Inc. (the “Company”) drew an additional fixed-rate borrowing of $3.0 million (the "Fifth Draw") under its previously disclosed Master Loan Agreement with Payward Interactive, Inc. (the "Lender") dated March 18, 2026 (the “MLA”), which provides for borrowings of up to $25.0 million in aggregate principal amount for up to a twelve-month term, subject to the execution of one or more individual loan term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Fifth Draw increases the aggregate principal amount outstanding under the MLA to $21.0 million which bears interest at a rate of 8.5% per annum maturing on September 11, 2027, unless earlier terminated in accordance with the terms of the MLA.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MLA are solely secured by Bitcoin collateral held in custody with an affiliate of the Lender, Payward Financial, Inc. (the "Custodian"), and subject to customary collateral maintenance provisions, including specified margin requirements and liquidation rights in the event of a collateral shortfall. The 479 Bitcoin collateralizing the MLA is held for the benefit of the Lender by the Custodian and subject to an account control agreement by and among the Lender, the Company and the Custodian.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decline of approximately 27.4% in the value of the pledged Bitcoin collateral, assuming no repayment of borrowings or additional collateral posting, would have reduced the collateral coverage ratio as of September 14, 2026 to the 130% collateral call margin ratio under the MLA. No collateral calls, mandatory repayments, or liquidation events had occurred under the MLA as of September 14,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MLA does not purport to be complete and is qualified in its entirety by reference to the full text of the MLA, a copy of which was filed as Exhibit 10.34 to the Company’s Transition Report on Form 10-K for the transition period from October 1, 2025 to December 31, 2025, as filed with the Securities and Exchange Commission (the "SEC") on March 25, 2026. </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the Private Securities Litigation Reform Act of 1995. These statements include, but are not limited to, statements regarding the Company’s ongoing product development activities, the testing and progression of its tokenized deposit product offering, the anticipated timing and execution of future development phases, the potential launch of a retail product, the Company’s engagement with third-party partners and vendors including affiliated service providers, expected future expenditures and reimbursements in connection with such activities, and the Company’s ability to maintain sufficient collateral coverage under its Bitcoin-backed credit facility. Forward-looking statements are based on current expectations and assumptions that are subject to risks and uncertainties, which may cause actual results to differ materially from those expressed or implied in such statements. These risks and uncertainties include, but are not limited to, regulatory approvals, market adoption, technological developments, volatility in digital asset markets, collateral calls, mandatory repayments, or liquidation events under the Master Loan Agreement, and other risks and uncertainties more fully detailed in the section captioned “Risk Factors” in the Company’s most recent Annual Report on Form 10-K for the transition period ended December 31, 2025, Quarterly Reports on Form 10-Q for the quarterly periods ended March 31, 2026 and June 30, 2026, Current Reports on Form 8-K, and other reports filed with the SEC from time to time. As a result of these matters, changes in facts, assumptions not being realized, or other circumstances, the Company’s actual results may differ materially from those expressed or implied in such statements. Forward-looking statements contained in this Current Report are only made as of this date, and the Company undertakes no duty to update such information after the date of this Current Report except as required under applicable law.</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lineRule="auto" w:line="288" w:before="0" w:after="0"/>
        <w:jc w:val="both"/>
        <w:rPr>
          <w:color w:val="000000"/>
        </w:rPr>
      </w:pPr>
      <w:r>
        <w:rPr>
          <w:color w:val="000000"/>
        </w:rPr>
        <w:t> </w:t>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4950" w:type="dxa"/>
        <w:jc w:val="left"/>
        <w:tblInd w:w="0" w:type="dxa"/>
        <w:tblLayout w:type="fixed"/>
        <w:tblCellMar>
          <w:top w:w="28" w:type="dxa"/>
          <w:left w:w="28" w:type="dxa"/>
          <w:bottom w:w="28" w:type="dxa"/>
          <w:right w:w="28" w:type="dxa"/>
        </w:tblCellMar>
      </w:tblPr>
      <w:tblGrid>
        <w:gridCol w:w="802"/>
        <w:gridCol w:w="707"/>
        <w:gridCol w:w="711"/>
        <w:gridCol w:w="225"/>
        <w:gridCol w:w="225"/>
        <w:gridCol w:w="225"/>
        <w:gridCol w:w="597"/>
        <w:gridCol w:w="597"/>
        <w:gridCol w:w="861"/>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USBC,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September 16, 2026</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Daniel J. Beck</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0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Daniel J. Beck</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999</Words>
  <Characters>5536</Characters>
  <CharactersWithSpaces>6497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